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6EC6CA">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rPr>
        <w:t>3GPP TSG RAN Meeting #107</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hint="eastAsia" w:ascii="Arial" w:hAnsi="Arial" w:cs="Arial"/>
          <w:b/>
          <w:sz w:val="28"/>
          <w:szCs w:val="28"/>
        </w:rPr>
        <w:t>RP-250436</w:t>
      </w:r>
    </w:p>
    <w:p w14:paraId="4B84BA20">
      <w:pPr>
        <w:keepLines/>
        <w:tabs>
          <w:tab w:val="left" w:pos="567"/>
        </w:tabs>
        <w:rPr>
          <w:rFonts w:ascii="Arial" w:hAnsi="Arial" w:cs="Arial"/>
          <w:b/>
          <w:sz w:val="28"/>
          <w:szCs w:val="28"/>
        </w:rPr>
      </w:pPr>
      <w:r>
        <w:rPr>
          <w:rFonts w:ascii="Arial" w:hAnsi="Arial" w:cs="Arial"/>
          <w:b/>
          <w:sz w:val="28"/>
          <w:szCs w:val="28"/>
        </w:rPr>
        <w:t>Incheon, Korea, March 12-14, 2025</w:t>
      </w:r>
    </w:p>
    <w:p w14:paraId="4BFDD6D0">
      <w:pPr>
        <w:pStyle w:val="3"/>
        <w:jc w:val="center"/>
        <w:rPr>
          <w:u w:val="single"/>
        </w:rPr>
      </w:pPr>
      <w:r>
        <w:rPr>
          <w:u w:val="single"/>
        </w:rPr>
        <w:t>Status Report to TSG</w:t>
      </w:r>
    </w:p>
    <w:p w14:paraId="309ACDF9">
      <w:pPr>
        <w:tabs>
          <w:tab w:val="left" w:pos="567"/>
        </w:tabs>
        <w:rPr>
          <w:rFonts w:ascii="Arial" w:hAnsi="Arial" w:cs="Arial"/>
          <w:b/>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b/>
        </w:rPr>
        <w:t>9.3.4.2</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7DDEF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5D1D6EB">
            <w:pPr>
              <w:tabs>
                <w:tab w:val="left" w:pos="567"/>
              </w:tabs>
              <w:spacing w:after="0"/>
              <w:rPr>
                <w:rFonts w:ascii="Arial" w:hAnsi="Arial" w:cs="Arial"/>
                <w:b/>
              </w:rPr>
            </w:pPr>
            <w:r>
              <w:rPr>
                <w:rFonts w:ascii="Arial" w:hAnsi="Arial" w:cs="Arial"/>
                <w:b/>
              </w:rPr>
              <w:t>WI / SI Name</w:t>
            </w:r>
          </w:p>
        </w:tc>
        <w:tc>
          <w:tcPr>
            <w:tcW w:w="7650" w:type="dxa"/>
            <w:gridSpan w:val="5"/>
          </w:tcPr>
          <w:p w14:paraId="3F057CBF">
            <w:pPr>
              <w:tabs>
                <w:tab w:val="left" w:pos="2127"/>
              </w:tabs>
              <w:overflowPunct/>
              <w:autoSpaceDE/>
              <w:autoSpaceDN/>
              <w:adjustRightInd/>
              <w:spacing w:after="0"/>
              <w:ind w:left="2126" w:hanging="2126"/>
              <w:jc w:val="both"/>
              <w:textAlignment w:val="auto"/>
              <w:outlineLvl w:val="0"/>
              <w:rPr>
                <w:rFonts w:ascii="Arial" w:hAnsi="Arial" w:cs="Arial" w:eastAsiaTheme="minorEastAsia"/>
              </w:rPr>
            </w:pPr>
            <w:r>
              <w:rPr>
                <w:rFonts w:ascii="Arial" w:hAnsi="Arial" w:cs="Arial"/>
              </w:rPr>
              <w:t>NR base station (BS) RF requirement evolution for FR1/FR2 and testing</w:t>
            </w:r>
          </w:p>
        </w:tc>
      </w:tr>
      <w:tr w14:paraId="7DFA7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6C2F92ED">
            <w:pPr>
              <w:tabs>
                <w:tab w:val="left" w:pos="567"/>
              </w:tabs>
              <w:spacing w:after="0"/>
              <w:rPr>
                <w:rFonts w:ascii="Arial" w:hAnsi="Arial" w:cs="Arial"/>
                <w:bCs/>
              </w:rPr>
            </w:pPr>
            <w:r>
              <w:rPr>
                <w:rFonts w:ascii="Arial" w:hAnsi="Arial" w:cs="Arial"/>
                <w:bCs/>
              </w:rPr>
              <w:t>included in this status report</w:t>
            </w:r>
          </w:p>
        </w:tc>
        <w:tc>
          <w:tcPr>
            <w:tcW w:w="1846" w:type="dxa"/>
          </w:tcPr>
          <w:p w14:paraId="6FBD419A">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3AF9475">
            <w:pPr>
              <w:tabs>
                <w:tab w:val="left" w:pos="567"/>
              </w:tabs>
              <w:spacing w:after="0"/>
              <w:rPr>
                <w:rFonts w:ascii="Arial" w:hAnsi="Arial" w:cs="Arial"/>
              </w:rPr>
            </w:pPr>
            <w:r>
              <w:rPr>
                <w:rFonts w:ascii="Arial" w:hAnsi="Arial" w:cs="Arial"/>
                <w:lang w:eastAsia="ja-JP"/>
              </w:rPr>
              <w:t>No</w:t>
            </w:r>
          </w:p>
        </w:tc>
        <w:tc>
          <w:tcPr>
            <w:tcW w:w="1842" w:type="dxa"/>
          </w:tcPr>
          <w:p w14:paraId="4A397745">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0DFFCA0">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14:paraId="6B90A1D0">
            <w:pPr>
              <w:tabs>
                <w:tab w:val="left" w:pos="567"/>
              </w:tabs>
              <w:spacing w:after="0"/>
              <w:rPr>
                <w:rFonts w:ascii="Arial" w:hAnsi="Arial" w:cs="Arial"/>
              </w:rPr>
            </w:pPr>
            <w:r>
              <w:rPr>
                <w:rFonts w:ascii="Arial" w:hAnsi="Arial" w:cs="Arial"/>
              </w:rPr>
              <w:t>Performance part:</w:t>
            </w:r>
          </w:p>
          <w:p w14:paraId="5030284B">
            <w:pPr>
              <w:tabs>
                <w:tab w:val="left" w:pos="567"/>
              </w:tabs>
              <w:spacing w:after="0"/>
              <w:rPr>
                <w:rFonts w:ascii="Arial" w:hAnsi="Arial" w:cs="Arial"/>
                <w:lang w:eastAsia="ja-JP"/>
              </w:rPr>
            </w:pPr>
            <w:r>
              <w:rPr>
                <w:rFonts w:hint="eastAsia" w:ascii="Arial" w:hAnsi="Arial" w:cs="Arial"/>
                <w:lang w:eastAsia="ja-JP"/>
              </w:rPr>
              <w:t>Yes</w:t>
            </w:r>
          </w:p>
        </w:tc>
        <w:tc>
          <w:tcPr>
            <w:tcW w:w="1653" w:type="dxa"/>
          </w:tcPr>
          <w:p w14:paraId="248D66CF">
            <w:pPr>
              <w:tabs>
                <w:tab w:val="left" w:pos="567"/>
              </w:tabs>
              <w:spacing w:after="0"/>
              <w:rPr>
                <w:rFonts w:ascii="Arial" w:hAnsi="Arial" w:cs="Arial"/>
              </w:rPr>
            </w:pPr>
            <w:r>
              <w:rPr>
                <w:rFonts w:ascii="Arial" w:hAnsi="Arial" w:cs="Arial"/>
              </w:rPr>
              <w:t>Testing part:</w:t>
            </w:r>
          </w:p>
          <w:p w14:paraId="4C2F1E2A">
            <w:pPr>
              <w:tabs>
                <w:tab w:val="left" w:pos="567"/>
              </w:tabs>
              <w:spacing w:after="0"/>
              <w:rPr>
                <w:rFonts w:ascii="Arial" w:hAnsi="Arial" w:cs="Arial"/>
                <w:lang w:eastAsia="ja-JP"/>
              </w:rPr>
            </w:pPr>
            <w:r>
              <w:rPr>
                <w:rFonts w:hint="eastAsia" w:ascii="Arial" w:hAnsi="Arial" w:cs="Arial"/>
                <w:lang w:eastAsia="ja-JP"/>
              </w:rPr>
              <w:t>No</w:t>
            </w:r>
          </w:p>
        </w:tc>
      </w:tr>
      <w:tr w14:paraId="42B08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FA21EE1">
            <w:pPr>
              <w:tabs>
                <w:tab w:val="left" w:pos="567"/>
              </w:tabs>
              <w:spacing w:after="0"/>
              <w:rPr>
                <w:rFonts w:ascii="Arial" w:hAnsi="Arial" w:cs="Arial"/>
              </w:rPr>
            </w:pPr>
            <w:r>
              <w:rPr>
                <w:rFonts w:ascii="Arial" w:hAnsi="Arial" w:cs="Arial"/>
              </w:rPr>
              <w:t>Acronym</w:t>
            </w:r>
          </w:p>
        </w:tc>
        <w:tc>
          <w:tcPr>
            <w:tcW w:w="7650" w:type="dxa"/>
            <w:gridSpan w:val="5"/>
          </w:tcPr>
          <w:p w14:paraId="60EAEB7F">
            <w:pPr>
              <w:tabs>
                <w:tab w:val="left" w:pos="567"/>
              </w:tabs>
              <w:spacing w:after="0"/>
              <w:rPr>
                <w:rFonts w:ascii="Arial" w:hAnsi="Arial" w:cs="Arial"/>
              </w:rPr>
            </w:pPr>
            <w:bookmarkStart w:id="0" w:name="OLE_LINK214"/>
            <w:bookmarkStart w:id="1" w:name="OLE_LINK215"/>
            <w:r>
              <w:rPr>
                <w:rFonts w:ascii="Arial" w:hAnsi="Arial" w:cs="Arial"/>
              </w:rPr>
              <w:t>NR_BS_RF_req_evo</w:t>
            </w:r>
            <w:bookmarkEnd w:id="0"/>
            <w:bookmarkEnd w:id="1"/>
          </w:p>
        </w:tc>
      </w:tr>
      <w:tr w14:paraId="71365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E3C3C7">
            <w:pPr>
              <w:tabs>
                <w:tab w:val="left" w:pos="567"/>
              </w:tabs>
              <w:spacing w:after="0"/>
              <w:rPr>
                <w:rFonts w:ascii="Arial" w:hAnsi="Arial" w:cs="Arial"/>
                <w:b/>
              </w:rPr>
            </w:pPr>
            <w:r>
              <w:rPr>
                <w:rFonts w:ascii="Arial" w:hAnsi="Arial" w:cs="Arial"/>
                <w:b/>
              </w:rPr>
              <w:t>Unique ID</w:t>
            </w:r>
          </w:p>
        </w:tc>
        <w:tc>
          <w:tcPr>
            <w:tcW w:w="7650" w:type="dxa"/>
            <w:gridSpan w:val="5"/>
          </w:tcPr>
          <w:p w14:paraId="1283008A">
            <w:pPr>
              <w:tabs>
                <w:tab w:val="left" w:pos="567"/>
              </w:tabs>
              <w:spacing w:after="0"/>
              <w:rPr>
                <w:rFonts w:ascii="Arial" w:hAnsi="Arial" w:eastAsia="宋体" w:cs="Arial"/>
                <w:lang w:val="en-US" w:eastAsia="zh-CN"/>
              </w:rPr>
            </w:pPr>
            <w:r>
              <w:rPr>
                <w:rFonts w:ascii="Arial" w:hAnsi="Arial" w:cs="Arial"/>
              </w:rPr>
              <w:t>10300</w:t>
            </w:r>
            <w:r>
              <w:rPr>
                <w:rFonts w:hint="eastAsia" w:ascii="Arial" w:hAnsi="Arial" w:eastAsia="宋体" w:cs="Arial"/>
                <w:lang w:val="en-US" w:eastAsia="zh-CN"/>
              </w:rPr>
              <w:t>78</w:t>
            </w:r>
          </w:p>
        </w:tc>
      </w:tr>
      <w:tr w14:paraId="4237D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4C98C3E">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32E1C25">
            <w:pPr>
              <w:tabs>
                <w:tab w:val="left" w:pos="567"/>
              </w:tabs>
              <w:spacing w:after="0"/>
              <w:rPr>
                <w:rFonts w:ascii="Arial" w:hAnsi="Arial" w:cs="Arial"/>
              </w:rPr>
            </w:pPr>
            <w:r>
              <w:rPr>
                <w:rFonts w:ascii="Arial" w:hAnsi="Arial" w:cs="Arial"/>
              </w:rPr>
              <w:fldChar w:fldCharType="begin"/>
            </w:r>
            <w:r>
              <w:rPr>
                <w:rFonts w:ascii="Arial" w:hAnsi="Arial" w:cs="Arial"/>
              </w:rPr>
              <w:instrText xml:space="preserve"> HYPERLINK "https://www.3gpp.org/ftp/TSG_RAN/TSG_RAN/TSGR_106/Docs/RP-243270.zip" \t "https://portal.3gpp.org/ngppapp/_blank" </w:instrText>
            </w:r>
            <w:r>
              <w:rPr>
                <w:rFonts w:ascii="Arial" w:hAnsi="Arial" w:cs="Arial"/>
              </w:rPr>
              <w:fldChar w:fldCharType="separate"/>
            </w:r>
            <w:r>
              <w:rPr>
                <w:rFonts w:hint="default" w:ascii="Arial" w:hAnsi="Arial" w:cs="Arial"/>
              </w:rPr>
              <w:t>RP-243270</w:t>
            </w:r>
            <w:r>
              <w:rPr>
                <w:rFonts w:hint="default" w:ascii="Arial" w:hAnsi="Arial" w:cs="Arial"/>
              </w:rPr>
              <w:fldChar w:fldCharType="end"/>
            </w:r>
          </w:p>
        </w:tc>
      </w:tr>
      <w:tr w14:paraId="4F69E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E7126AD">
            <w:pPr>
              <w:tabs>
                <w:tab w:val="left" w:pos="567"/>
              </w:tabs>
              <w:spacing w:after="0"/>
              <w:rPr>
                <w:rFonts w:ascii="Arial" w:hAnsi="Arial" w:cs="Arial"/>
                <w:b/>
              </w:rPr>
            </w:pPr>
            <w:r>
              <w:rPr>
                <w:rFonts w:ascii="Arial" w:hAnsi="Arial" w:cs="Arial"/>
                <w:b/>
              </w:rPr>
              <w:t>Target Completion Date</w:t>
            </w:r>
          </w:p>
          <w:p w14:paraId="7ECC33D8">
            <w:pPr>
              <w:tabs>
                <w:tab w:val="left" w:pos="567"/>
              </w:tabs>
              <w:spacing w:after="0"/>
              <w:rPr>
                <w:rFonts w:ascii="Arial" w:hAnsi="Arial" w:cs="Arial"/>
                <w:b/>
              </w:rPr>
            </w:pPr>
            <w:r>
              <w:rPr>
                <w:rFonts w:ascii="Arial" w:hAnsi="Arial" w:cs="Arial"/>
                <w:b/>
              </w:rPr>
              <w:t>(indicate if changed)</w:t>
            </w:r>
          </w:p>
        </w:tc>
        <w:tc>
          <w:tcPr>
            <w:tcW w:w="1846" w:type="dxa"/>
          </w:tcPr>
          <w:p w14:paraId="5D8AAB23">
            <w:pPr>
              <w:tabs>
                <w:tab w:val="left" w:pos="567"/>
              </w:tabs>
              <w:spacing w:after="0"/>
              <w:rPr>
                <w:rFonts w:ascii="Arial" w:hAnsi="Arial" w:cs="Arial"/>
                <w:lang w:eastAsia="ja-JP"/>
              </w:rPr>
            </w:pPr>
            <w:r>
              <w:rPr>
                <w:rFonts w:ascii="Arial" w:hAnsi="Arial" w:cs="Arial"/>
                <w:lang w:eastAsia="ja-JP"/>
              </w:rPr>
              <w:t xml:space="preserve">Study Item: </w:t>
            </w:r>
          </w:p>
          <w:p w14:paraId="65362521">
            <w:pPr>
              <w:tabs>
                <w:tab w:val="left" w:pos="567"/>
              </w:tabs>
              <w:spacing w:after="0"/>
              <w:rPr>
                <w:rFonts w:ascii="Arial" w:hAnsi="Arial" w:cs="Arial"/>
                <w:lang w:eastAsia="ja-JP"/>
              </w:rPr>
            </w:pPr>
            <w:r>
              <w:rPr>
                <w:rFonts w:ascii="Arial" w:hAnsi="Arial" w:cs="Arial"/>
                <w:lang w:eastAsia="ja-JP"/>
              </w:rPr>
              <w:t>NA</w:t>
            </w:r>
          </w:p>
        </w:tc>
        <w:tc>
          <w:tcPr>
            <w:tcW w:w="1842" w:type="dxa"/>
          </w:tcPr>
          <w:p w14:paraId="416F7573">
            <w:pPr>
              <w:tabs>
                <w:tab w:val="left" w:pos="567"/>
              </w:tabs>
              <w:spacing w:after="0"/>
              <w:rPr>
                <w:rFonts w:ascii="Arial" w:hAnsi="Arial" w:cs="Arial"/>
                <w:lang w:eastAsia="ja-JP"/>
              </w:rPr>
            </w:pPr>
            <w:r>
              <w:rPr>
                <w:rFonts w:ascii="Arial" w:hAnsi="Arial" w:cs="Arial"/>
                <w:lang w:eastAsia="ja-JP"/>
              </w:rPr>
              <w:t xml:space="preserve">Core part: </w:t>
            </w:r>
          </w:p>
          <w:p w14:paraId="1EAE652D">
            <w:pPr>
              <w:tabs>
                <w:tab w:val="left" w:pos="567"/>
              </w:tabs>
              <w:spacing w:after="0"/>
              <w:rPr>
                <w:rFonts w:ascii="Arial" w:hAnsi="Arial" w:cs="Arial" w:eastAsiaTheme="minorEastAsia"/>
                <w:lang w:eastAsia="zh-CN"/>
              </w:rPr>
            </w:pPr>
            <w:r>
              <w:rPr>
                <w:rFonts w:hint="eastAsia" w:ascii="Arial" w:hAnsi="Arial" w:cs="Arial" w:eastAsiaTheme="minorEastAsia"/>
                <w:lang w:eastAsia="zh-CN"/>
              </w:rPr>
              <w:t>09/20</w:t>
            </w:r>
            <w:r>
              <w:rPr>
                <w:rFonts w:ascii="Arial" w:hAnsi="Arial" w:cs="Arial" w:eastAsiaTheme="minorEastAsia"/>
                <w:lang w:eastAsia="zh-CN"/>
              </w:rPr>
              <w:t>2</w:t>
            </w:r>
            <w:r>
              <w:rPr>
                <w:rFonts w:hint="eastAsia" w:ascii="Arial" w:hAnsi="Arial" w:cs="Arial" w:eastAsiaTheme="minorEastAsia"/>
                <w:lang w:eastAsia="zh-CN"/>
              </w:rPr>
              <w:t>5</w:t>
            </w:r>
          </w:p>
        </w:tc>
        <w:tc>
          <w:tcPr>
            <w:tcW w:w="2268" w:type="dxa"/>
          </w:tcPr>
          <w:p w14:paraId="163E9351">
            <w:pPr>
              <w:tabs>
                <w:tab w:val="left" w:pos="567"/>
              </w:tabs>
              <w:spacing w:after="0"/>
              <w:rPr>
                <w:rFonts w:ascii="Arial" w:hAnsi="Arial" w:cs="Arial" w:eastAsiaTheme="minorEastAsia"/>
                <w:lang w:eastAsia="zh-CN"/>
              </w:rPr>
            </w:pPr>
            <w:r>
              <w:rPr>
                <w:rFonts w:ascii="Arial" w:hAnsi="Arial" w:cs="Arial"/>
                <w:lang w:eastAsia="ja-JP"/>
              </w:rPr>
              <w:t xml:space="preserve">Performance part: </w:t>
            </w:r>
            <w:r>
              <w:rPr>
                <w:rFonts w:hint="eastAsia" w:ascii="Arial" w:hAnsi="Arial" w:cs="Arial" w:eastAsiaTheme="minorEastAsia"/>
                <w:lang w:eastAsia="zh-CN"/>
              </w:rPr>
              <w:t>03</w:t>
            </w:r>
            <w:r>
              <w:rPr>
                <w:rFonts w:ascii="Arial" w:hAnsi="Arial" w:cs="Arial"/>
                <w:lang w:eastAsia="ja-JP"/>
              </w:rPr>
              <w:t>/20</w:t>
            </w:r>
            <w:r>
              <w:rPr>
                <w:rFonts w:hint="eastAsia" w:ascii="Arial" w:hAnsi="Arial" w:cs="Arial" w:eastAsiaTheme="minorEastAsia"/>
                <w:lang w:eastAsia="zh-CN"/>
              </w:rPr>
              <w:t>26</w:t>
            </w:r>
          </w:p>
        </w:tc>
        <w:tc>
          <w:tcPr>
            <w:tcW w:w="1694" w:type="dxa"/>
            <w:gridSpan w:val="2"/>
          </w:tcPr>
          <w:p w14:paraId="2F4D68F9">
            <w:pPr>
              <w:tabs>
                <w:tab w:val="left" w:pos="567"/>
              </w:tabs>
              <w:spacing w:after="0"/>
              <w:rPr>
                <w:rFonts w:ascii="Arial" w:hAnsi="Arial" w:cs="Arial"/>
                <w:lang w:eastAsia="ja-JP"/>
              </w:rPr>
            </w:pPr>
            <w:r>
              <w:rPr>
                <w:rFonts w:ascii="Arial" w:hAnsi="Arial" w:cs="Arial"/>
                <w:lang w:eastAsia="ja-JP"/>
              </w:rPr>
              <w:t xml:space="preserve">Testing part: </w:t>
            </w:r>
          </w:p>
          <w:p w14:paraId="4A8B92EF">
            <w:pPr>
              <w:tabs>
                <w:tab w:val="left" w:pos="567"/>
              </w:tabs>
              <w:spacing w:after="0"/>
              <w:rPr>
                <w:rFonts w:ascii="Arial" w:hAnsi="Arial" w:cs="Arial"/>
                <w:highlight w:val="yellow"/>
                <w:lang w:eastAsia="ja-JP"/>
              </w:rPr>
            </w:pPr>
            <w:r>
              <w:rPr>
                <w:rFonts w:ascii="Arial" w:hAnsi="Arial" w:cs="Arial"/>
                <w:lang w:eastAsia="ja-JP"/>
              </w:rPr>
              <w:t>NA</w:t>
            </w:r>
          </w:p>
        </w:tc>
      </w:tr>
      <w:tr w14:paraId="4607B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8EBB8CB">
            <w:pPr>
              <w:tabs>
                <w:tab w:val="left" w:pos="567"/>
              </w:tabs>
              <w:spacing w:after="0"/>
              <w:rPr>
                <w:rFonts w:ascii="Arial" w:hAnsi="Arial" w:cs="Arial"/>
                <w:b/>
              </w:rPr>
            </w:pPr>
            <w:r>
              <w:rPr>
                <w:rFonts w:ascii="Arial" w:hAnsi="Arial" w:cs="Arial"/>
                <w:b/>
              </w:rPr>
              <w:t>Overall Completion level</w:t>
            </w:r>
          </w:p>
        </w:tc>
        <w:tc>
          <w:tcPr>
            <w:tcW w:w="1846" w:type="dxa"/>
          </w:tcPr>
          <w:p w14:paraId="16CC518A">
            <w:pPr>
              <w:tabs>
                <w:tab w:val="left" w:pos="567"/>
              </w:tabs>
              <w:spacing w:after="0"/>
              <w:rPr>
                <w:rFonts w:ascii="Arial" w:hAnsi="Arial" w:cs="Arial"/>
                <w:lang w:eastAsia="ja-JP"/>
              </w:rPr>
            </w:pPr>
            <w:r>
              <w:rPr>
                <w:rFonts w:ascii="Arial" w:hAnsi="Arial" w:cs="Arial"/>
                <w:lang w:eastAsia="ja-JP"/>
              </w:rPr>
              <w:t xml:space="preserve">Study Item: </w:t>
            </w:r>
          </w:p>
          <w:p w14:paraId="20B985C1">
            <w:pPr>
              <w:tabs>
                <w:tab w:val="left" w:pos="567"/>
              </w:tabs>
              <w:spacing w:after="0"/>
              <w:rPr>
                <w:rFonts w:ascii="Arial" w:hAnsi="Arial" w:cs="Arial"/>
                <w:lang w:eastAsia="ja-JP"/>
              </w:rPr>
            </w:pPr>
            <w:r>
              <w:rPr>
                <w:rFonts w:ascii="Arial" w:hAnsi="Arial" w:cs="Arial"/>
                <w:lang w:eastAsia="ja-JP"/>
              </w:rPr>
              <w:t>NA</w:t>
            </w:r>
          </w:p>
        </w:tc>
        <w:tc>
          <w:tcPr>
            <w:tcW w:w="1842" w:type="dxa"/>
          </w:tcPr>
          <w:p w14:paraId="03158D17">
            <w:pPr>
              <w:tabs>
                <w:tab w:val="left" w:pos="567"/>
              </w:tabs>
              <w:spacing w:after="0"/>
              <w:rPr>
                <w:rFonts w:ascii="Arial" w:hAnsi="Arial" w:cs="Arial"/>
                <w:lang w:eastAsia="ja-JP"/>
              </w:rPr>
            </w:pPr>
            <w:r>
              <w:rPr>
                <w:rFonts w:ascii="Arial" w:hAnsi="Arial" w:cs="Arial"/>
                <w:lang w:eastAsia="ja-JP"/>
              </w:rPr>
              <w:t xml:space="preserve">Core part: </w:t>
            </w:r>
          </w:p>
          <w:p w14:paraId="3006397F">
            <w:pPr>
              <w:tabs>
                <w:tab w:val="left" w:pos="567"/>
              </w:tabs>
              <w:spacing w:after="0"/>
              <w:rPr>
                <w:rFonts w:ascii="Arial" w:hAnsi="Arial" w:cs="Arial"/>
                <w:color w:val="00B050"/>
                <w:kern w:val="2"/>
                <w:lang w:val="en-US" w:eastAsia="ja-JP"/>
              </w:rPr>
            </w:pPr>
            <w:r>
              <w:rPr>
                <w:rFonts w:hint="eastAsia" w:ascii="Arial" w:hAnsi="Arial" w:eastAsia="宋体" w:cs="Arial"/>
                <w:color w:val="00B050"/>
                <w:kern w:val="2"/>
                <w:lang w:val="en-US" w:eastAsia="zh-CN"/>
              </w:rPr>
              <w:t>50</w:t>
            </w:r>
            <w:r>
              <w:rPr>
                <w:rFonts w:ascii="Arial" w:hAnsi="Arial" w:cs="Arial"/>
                <w:color w:val="00B050"/>
                <w:kern w:val="2"/>
                <w:lang w:val="en-US" w:eastAsia="ja-JP"/>
              </w:rPr>
              <w:t>%</w:t>
            </w:r>
          </w:p>
          <w:p w14:paraId="21F83064">
            <w:pPr>
              <w:tabs>
                <w:tab w:val="left" w:pos="567"/>
              </w:tabs>
              <w:spacing w:after="0"/>
              <w:rPr>
                <w:rFonts w:ascii="Arial" w:hAnsi="Arial" w:cs="Arial" w:eastAsiaTheme="minorEastAsia"/>
                <w:color w:val="00B050"/>
                <w:kern w:val="2"/>
                <w:lang w:val="en-US" w:eastAsia="zh-CN"/>
              </w:rPr>
            </w:pPr>
          </w:p>
        </w:tc>
        <w:tc>
          <w:tcPr>
            <w:tcW w:w="2268" w:type="dxa"/>
          </w:tcPr>
          <w:p w14:paraId="204FBAC0">
            <w:pPr>
              <w:tabs>
                <w:tab w:val="left" w:pos="567"/>
              </w:tabs>
              <w:spacing w:after="0"/>
              <w:rPr>
                <w:rFonts w:ascii="Arial" w:hAnsi="Arial" w:cs="Arial"/>
                <w:lang w:eastAsia="ja-JP"/>
              </w:rPr>
            </w:pPr>
            <w:r>
              <w:rPr>
                <w:rFonts w:ascii="Arial" w:hAnsi="Arial" w:cs="Arial"/>
                <w:lang w:eastAsia="ja-JP"/>
              </w:rPr>
              <w:t xml:space="preserve">Performance Part: </w:t>
            </w:r>
          </w:p>
          <w:p w14:paraId="7FCA971B">
            <w:pPr>
              <w:tabs>
                <w:tab w:val="left" w:pos="567"/>
              </w:tabs>
              <w:spacing w:after="0"/>
              <w:rPr>
                <w:rFonts w:ascii="Arial" w:hAnsi="Arial" w:cs="Arial" w:eastAsiaTheme="minorEastAsia"/>
                <w:color w:val="00B050"/>
                <w:kern w:val="2"/>
                <w:lang w:val="en-US" w:eastAsia="zh-CN"/>
              </w:rPr>
            </w:pPr>
            <w:r>
              <w:rPr>
                <w:rFonts w:hint="eastAsia" w:ascii="Arial" w:hAnsi="Arial" w:cs="Arial" w:eastAsiaTheme="minorEastAsia"/>
                <w:color w:val="00B050"/>
                <w:kern w:val="2"/>
                <w:lang w:val="en-US" w:eastAsia="zh-CN"/>
              </w:rPr>
              <w:t>30%</w:t>
            </w:r>
          </w:p>
          <w:p w14:paraId="7AE68EA2">
            <w:pPr>
              <w:tabs>
                <w:tab w:val="left" w:pos="567"/>
              </w:tabs>
              <w:spacing w:after="0"/>
              <w:rPr>
                <w:rFonts w:ascii="Arial" w:hAnsi="Arial" w:cs="Arial"/>
                <w:lang w:eastAsia="ja-JP"/>
              </w:rPr>
            </w:pPr>
          </w:p>
        </w:tc>
        <w:tc>
          <w:tcPr>
            <w:tcW w:w="1694" w:type="dxa"/>
            <w:gridSpan w:val="2"/>
          </w:tcPr>
          <w:p w14:paraId="21D2DABC">
            <w:pPr>
              <w:tabs>
                <w:tab w:val="left" w:pos="567"/>
              </w:tabs>
              <w:spacing w:after="0"/>
              <w:rPr>
                <w:rFonts w:ascii="Arial" w:hAnsi="Arial" w:cs="Arial"/>
                <w:lang w:eastAsia="ja-JP"/>
              </w:rPr>
            </w:pPr>
            <w:r>
              <w:rPr>
                <w:rFonts w:ascii="Arial" w:hAnsi="Arial" w:cs="Arial"/>
                <w:lang w:eastAsia="ja-JP"/>
              </w:rPr>
              <w:t xml:space="preserve">Testing part: </w:t>
            </w:r>
          </w:p>
          <w:p w14:paraId="64C90C1A">
            <w:pPr>
              <w:tabs>
                <w:tab w:val="left" w:pos="567"/>
              </w:tabs>
              <w:spacing w:after="0"/>
              <w:rPr>
                <w:rFonts w:ascii="Arial" w:hAnsi="Arial" w:cs="Arial"/>
                <w:highlight w:val="yellow"/>
                <w:lang w:eastAsia="ja-JP"/>
              </w:rPr>
            </w:pPr>
            <w:r>
              <w:rPr>
                <w:rFonts w:ascii="Arial" w:hAnsi="Arial" w:cs="Arial"/>
                <w:lang w:eastAsia="ja-JP"/>
              </w:rPr>
              <w:t>NA</w:t>
            </w:r>
          </w:p>
        </w:tc>
      </w:tr>
    </w:tbl>
    <w:p w14:paraId="2D054700">
      <w:pPr>
        <w:tabs>
          <w:tab w:val="left" w:pos="567"/>
        </w:tabs>
        <w:spacing w:after="0"/>
        <w:rPr>
          <w:rFonts w:ascii="Arial" w:hAnsi="Arial" w:cs="Arial"/>
        </w:rPr>
      </w:pPr>
      <w:r>
        <w:rPr>
          <w:rFonts w:ascii="Arial" w:hAnsi="Arial" w:cs="Arial"/>
        </w:rPr>
        <w:t>Note: Overall completion level percentage numbers should use one of the colors below:</w:t>
      </w:r>
    </w:p>
    <w:p w14:paraId="316DD348">
      <w:pPr>
        <w:pStyle w:val="134"/>
        <w:numPr>
          <w:ilvl w:val="0"/>
          <w:numId w:val="13"/>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3CFF4A2">
      <w:pPr>
        <w:pStyle w:val="134"/>
        <w:numPr>
          <w:ilvl w:val="0"/>
          <w:numId w:val="13"/>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F7FD455">
      <w:pPr>
        <w:pStyle w:val="134"/>
        <w:numPr>
          <w:ilvl w:val="0"/>
          <w:numId w:val="13"/>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329285">
      <w:pPr>
        <w:pStyle w:val="134"/>
        <w:tabs>
          <w:tab w:val="left" w:pos="567"/>
        </w:tabs>
        <w:ind w:left="924" w:leftChars="0"/>
        <w:rPr>
          <w:rFonts w:ascii="Arial" w:hAnsi="Arial" w:cs="Arial"/>
          <w:color w:val="FF0000"/>
        </w:rPr>
      </w:pPr>
    </w:p>
    <w:p w14:paraId="40FCB2B7">
      <w:pPr>
        <w:tabs>
          <w:tab w:val="left" w:pos="567"/>
        </w:tabs>
        <w:spacing w:after="60"/>
        <w:rPr>
          <w:rFonts w:ascii="Arial" w:hAnsi="Arial" w:cs="Arial"/>
          <w:b/>
        </w:rPr>
      </w:pPr>
      <w:r>
        <w:rPr>
          <w:rFonts w:ascii="Arial" w:hAnsi="Arial" w:cs="Arial"/>
          <w:b/>
        </w:rPr>
        <w:t>Source:</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6165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0AC72714">
            <w:pPr>
              <w:tabs>
                <w:tab w:val="left" w:pos="567"/>
              </w:tabs>
              <w:spacing w:after="0"/>
              <w:rPr>
                <w:rFonts w:ascii="Arial" w:hAnsi="Arial" w:cs="Arial"/>
                <w:b/>
              </w:rPr>
            </w:pPr>
            <w:r>
              <w:rPr>
                <w:rFonts w:ascii="Arial" w:hAnsi="Arial" w:cs="Arial"/>
                <w:b/>
              </w:rPr>
              <w:t>Leading WG</w:t>
            </w:r>
          </w:p>
        </w:tc>
        <w:tc>
          <w:tcPr>
            <w:tcW w:w="7489" w:type="dxa"/>
          </w:tcPr>
          <w:p w14:paraId="29FD806D">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WG4</w:t>
            </w:r>
          </w:p>
        </w:tc>
      </w:tr>
      <w:tr w14:paraId="64249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380927C">
            <w:pPr>
              <w:tabs>
                <w:tab w:val="left" w:pos="567"/>
              </w:tabs>
              <w:rPr>
                <w:rFonts w:ascii="Arial" w:hAnsi="Arial" w:cs="Arial"/>
                <w:b/>
              </w:rPr>
            </w:pPr>
            <w:r>
              <w:rPr>
                <w:rFonts w:ascii="Arial" w:hAnsi="Arial" w:cs="Arial"/>
                <w:b/>
              </w:rPr>
              <w:t>Rapporteur</w:t>
            </w:r>
          </w:p>
        </w:tc>
        <w:tc>
          <w:tcPr>
            <w:tcW w:w="1340" w:type="dxa"/>
          </w:tcPr>
          <w:p w14:paraId="6E3614A2">
            <w:pPr>
              <w:tabs>
                <w:tab w:val="left" w:pos="567"/>
              </w:tabs>
              <w:spacing w:after="0"/>
              <w:rPr>
                <w:rFonts w:ascii="Arial" w:hAnsi="Arial" w:cs="Arial"/>
                <w:b/>
              </w:rPr>
            </w:pPr>
            <w:r>
              <w:rPr>
                <w:rFonts w:ascii="Arial" w:hAnsi="Arial" w:cs="Arial"/>
                <w:b/>
              </w:rPr>
              <w:t>Name</w:t>
            </w:r>
          </w:p>
        </w:tc>
        <w:tc>
          <w:tcPr>
            <w:tcW w:w="7489" w:type="dxa"/>
          </w:tcPr>
          <w:p w14:paraId="08A4FFBF">
            <w:pPr>
              <w:tabs>
                <w:tab w:val="left" w:pos="567"/>
              </w:tabs>
              <w:spacing w:after="0"/>
              <w:rPr>
                <w:rFonts w:ascii="Arial" w:hAnsi="Arial" w:eastAsia="宋体" w:cs="Arial"/>
                <w:lang w:val="en-US" w:eastAsia="zh-CN"/>
              </w:rPr>
            </w:pPr>
            <w:r>
              <w:rPr>
                <w:rFonts w:hint="eastAsia" w:ascii="Arial" w:hAnsi="Arial" w:eastAsia="宋体" w:cs="Arial"/>
                <w:lang w:val="en-US" w:eastAsia="zh-CN"/>
              </w:rPr>
              <w:t>Xue</w:t>
            </w:r>
            <w:r>
              <w:rPr>
                <w:rFonts w:ascii="Arial" w:hAnsi="Arial" w:eastAsia="宋体" w:cs="Arial"/>
                <w:lang w:eastAsia="zh-CN"/>
              </w:rPr>
              <w:t xml:space="preserve">, </w:t>
            </w:r>
            <w:r>
              <w:rPr>
                <w:rFonts w:hint="eastAsia" w:ascii="Arial" w:hAnsi="Arial" w:eastAsia="宋体" w:cs="Arial"/>
                <w:lang w:val="en-US" w:eastAsia="zh-CN"/>
              </w:rPr>
              <w:t>fei</w:t>
            </w:r>
          </w:p>
        </w:tc>
      </w:tr>
      <w:tr w14:paraId="2FEBE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768D296">
            <w:pPr>
              <w:tabs>
                <w:tab w:val="left" w:pos="567"/>
              </w:tabs>
              <w:rPr>
                <w:rFonts w:ascii="Arial" w:hAnsi="Arial" w:cs="Arial"/>
                <w:b/>
              </w:rPr>
            </w:pPr>
          </w:p>
        </w:tc>
        <w:tc>
          <w:tcPr>
            <w:tcW w:w="1340" w:type="dxa"/>
          </w:tcPr>
          <w:p w14:paraId="1EE5BA5E">
            <w:pPr>
              <w:tabs>
                <w:tab w:val="left" w:pos="567"/>
              </w:tabs>
              <w:spacing w:after="0"/>
              <w:rPr>
                <w:rFonts w:ascii="Arial" w:hAnsi="Arial" w:cs="Arial"/>
                <w:b/>
              </w:rPr>
            </w:pPr>
            <w:r>
              <w:rPr>
                <w:rFonts w:ascii="Arial" w:hAnsi="Arial" w:cs="Arial"/>
                <w:b/>
              </w:rPr>
              <w:t>Company</w:t>
            </w:r>
          </w:p>
        </w:tc>
        <w:tc>
          <w:tcPr>
            <w:tcW w:w="7489" w:type="dxa"/>
          </w:tcPr>
          <w:p w14:paraId="64E7CDB9">
            <w:pPr>
              <w:tabs>
                <w:tab w:val="left" w:pos="567"/>
              </w:tabs>
              <w:spacing w:after="0"/>
              <w:rPr>
                <w:rFonts w:ascii="Arial" w:hAnsi="Arial" w:eastAsia="宋体" w:cs="Arial"/>
                <w:lang w:val="en-US" w:eastAsia="zh-CN"/>
              </w:rPr>
            </w:pPr>
            <w:r>
              <w:rPr>
                <w:rFonts w:hint="eastAsia" w:ascii="Arial" w:hAnsi="Arial" w:eastAsia="宋体" w:cs="Arial"/>
                <w:lang w:val="en-US" w:eastAsia="zh-CN"/>
              </w:rPr>
              <w:t>ZTE Corporation</w:t>
            </w:r>
          </w:p>
        </w:tc>
      </w:tr>
      <w:tr w14:paraId="3CFE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6997EA70">
            <w:pPr>
              <w:tabs>
                <w:tab w:val="left" w:pos="567"/>
              </w:tabs>
              <w:rPr>
                <w:rFonts w:ascii="Arial" w:hAnsi="Arial" w:cs="Arial"/>
                <w:b/>
              </w:rPr>
            </w:pPr>
          </w:p>
        </w:tc>
        <w:tc>
          <w:tcPr>
            <w:tcW w:w="1340" w:type="dxa"/>
          </w:tcPr>
          <w:p w14:paraId="57473E70">
            <w:pPr>
              <w:tabs>
                <w:tab w:val="left" w:pos="567"/>
              </w:tabs>
              <w:spacing w:after="0"/>
              <w:rPr>
                <w:rFonts w:ascii="Arial" w:hAnsi="Arial" w:cs="Arial"/>
                <w:b/>
              </w:rPr>
            </w:pPr>
            <w:r>
              <w:rPr>
                <w:rFonts w:ascii="Arial" w:hAnsi="Arial" w:cs="Arial"/>
                <w:b/>
              </w:rPr>
              <w:t>Email</w:t>
            </w:r>
          </w:p>
        </w:tc>
        <w:tc>
          <w:tcPr>
            <w:tcW w:w="7489" w:type="dxa"/>
          </w:tcPr>
          <w:p w14:paraId="3360973A">
            <w:pPr>
              <w:tabs>
                <w:tab w:val="left" w:pos="567"/>
              </w:tabs>
              <w:spacing w:after="0"/>
              <w:rPr>
                <w:rFonts w:ascii="Arial" w:hAnsi="Arial" w:eastAsia="宋体" w:cs="Arial"/>
                <w:lang w:val="en-US" w:eastAsia="zh-CN"/>
              </w:rPr>
            </w:pPr>
            <w:r>
              <w:rPr>
                <w:rFonts w:hint="eastAsia" w:ascii="Arial" w:hAnsi="Arial" w:eastAsia="宋体" w:cs="Arial"/>
                <w:lang w:val="en-US" w:eastAsia="zh-CN"/>
              </w:rPr>
              <w:t>Xue.fei25@zte.com.cn</w:t>
            </w:r>
          </w:p>
        </w:tc>
      </w:tr>
    </w:tbl>
    <w:p w14:paraId="3373E909"/>
    <w:p w14:paraId="12C60BA9">
      <w:pPr>
        <w:pStyle w:val="2"/>
      </w:pPr>
      <w:r>
        <w:t>1</w:t>
      </w:r>
      <w:r>
        <w:tab/>
      </w:r>
      <w:r>
        <w:t>Work plan related evaluation</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7A0E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355A5671">
            <w:pPr>
              <w:pStyle w:val="69"/>
              <w:jc w:val="center"/>
              <w:rPr>
                <w:b/>
                <w:bCs/>
              </w:rPr>
            </w:pPr>
            <w:r>
              <w:rPr>
                <w:b/>
                <w:bCs/>
              </w:rPr>
              <w:t>Do you want to modify the time budget for this WI/SI compared to what was endorsed at the last RAN meeting?</w:t>
            </w:r>
          </w:p>
        </w:tc>
        <w:tc>
          <w:tcPr>
            <w:tcW w:w="1037" w:type="dxa"/>
            <w:vAlign w:val="center"/>
          </w:tcPr>
          <w:p w14:paraId="41FADB46">
            <w:pPr>
              <w:pStyle w:val="69"/>
              <w:jc w:val="center"/>
              <w:rPr>
                <w:rFonts w:eastAsiaTheme="minorEastAsia"/>
                <w:color w:val="FF0000"/>
                <w:lang w:eastAsia="zh-CN"/>
              </w:rPr>
            </w:pPr>
            <w:r>
              <w:rPr>
                <w:rFonts w:eastAsiaTheme="minorEastAsia"/>
                <w:lang w:eastAsia="zh-CN"/>
              </w:rPr>
              <w:t>No</w:t>
            </w:r>
          </w:p>
        </w:tc>
      </w:tr>
    </w:tbl>
    <w:p w14:paraId="03FD707D">
      <w:pPr>
        <w:spacing w:after="0"/>
        <w:rPr>
          <w:rFonts w:ascii="Arial" w:hAnsi="Arial" w:cs="Arial"/>
        </w:rPr>
      </w:pPr>
    </w:p>
    <w:p w14:paraId="65719964">
      <w:pPr>
        <w:pStyle w:val="72"/>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1CBAE5CF">
      <w:pPr>
        <w:pStyle w:val="72"/>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0A4CBDFF">
      <w:pPr>
        <w:pStyle w:val="72"/>
        <w:rPr>
          <w:rFonts w:ascii="Arial" w:hAnsi="Arial" w:cs="Arial"/>
          <w:i/>
        </w:rPr>
      </w:pPr>
      <w:r>
        <w:rPr>
          <w:rFonts w:ascii="Arial" w:hAnsi="Arial" w:cs="Arial"/>
          <w:b/>
        </w:rPr>
        <w:t>Additional explanations/motivations for the time budget changes in the attached Excel table:</w:t>
      </w:r>
    </w:p>
    <w:p w14:paraId="4E6124F7">
      <w:pPr>
        <w:spacing w:after="0"/>
        <w:rPr>
          <w:rFonts w:ascii="Arial" w:hAnsi="Arial" w:cs="Arial"/>
        </w:rPr>
      </w:pPr>
    </w:p>
    <w:p w14:paraId="2A81F5D8">
      <w:pPr>
        <w:pStyle w:val="2"/>
      </w:pPr>
      <w:r>
        <w:t>2.</w:t>
      </w:r>
      <w:r>
        <w:tab/>
      </w:r>
      <w:r>
        <w:t>Detailed progress in RAN WGs since last TSG meeting (for all involved WGs)</w:t>
      </w:r>
    </w:p>
    <w:p w14:paraId="1BFA244A">
      <w:pPr>
        <w:pStyle w:val="3"/>
        <w:rPr>
          <w:lang w:eastAsia="ja-JP"/>
        </w:rPr>
      </w:pPr>
      <w:r>
        <w:rPr>
          <w:lang w:eastAsia="ja-JP"/>
        </w:rPr>
        <w:t>2.1</w:t>
      </w:r>
      <w:r>
        <w:rPr>
          <w:lang w:eastAsia="ja-JP"/>
        </w:rPr>
        <w:tab/>
      </w:r>
      <w:r>
        <w:rPr>
          <w:rFonts w:hint="eastAsia"/>
          <w:lang w:eastAsia="ja-JP"/>
        </w:rPr>
        <w:t>RAN1</w:t>
      </w:r>
    </w:p>
    <w:p w14:paraId="7F4CCA31">
      <w:pPr>
        <w:pStyle w:val="4"/>
        <w:rPr>
          <w:lang w:eastAsia="zh-CN"/>
        </w:rPr>
      </w:pPr>
      <w:r>
        <w:rPr>
          <w:lang w:eastAsia="ja-JP"/>
        </w:rPr>
        <w:t>2.1.1</w:t>
      </w:r>
      <w:r>
        <w:rPr>
          <w:lang w:eastAsia="ja-JP"/>
        </w:rPr>
        <w:tab/>
      </w:r>
      <w:r>
        <w:rPr>
          <w:lang w:eastAsia="ja-JP"/>
        </w:rPr>
        <w:t>Agreements</w:t>
      </w:r>
    </w:p>
    <w:p w14:paraId="6B3FB695">
      <w:pPr>
        <w:pStyle w:val="4"/>
        <w:rPr>
          <w:lang w:eastAsia="ja-JP"/>
        </w:rPr>
      </w:pPr>
      <w:r>
        <w:rPr>
          <w:lang w:eastAsia="ja-JP"/>
        </w:rPr>
        <w:t>2.1.2</w:t>
      </w:r>
      <w:r>
        <w:rPr>
          <w:lang w:eastAsia="ja-JP"/>
        </w:rPr>
        <w:tab/>
      </w:r>
      <w:r>
        <w:rPr>
          <w:lang w:eastAsia="ja-JP"/>
        </w:rPr>
        <w:t>Remaining Open issues</w:t>
      </w:r>
    </w:p>
    <w:p w14:paraId="475DF6FA">
      <w:pPr>
        <w:pStyle w:val="3"/>
        <w:rPr>
          <w:lang w:eastAsia="ja-JP"/>
        </w:rPr>
      </w:pPr>
      <w:r>
        <w:rPr>
          <w:lang w:eastAsia="ja-JP"/>
        </w:rPr>
        <w:t>2.2</w:t>
      </w:r>
      <w:r>
        <w:rPr>
          <w:lang w:eastAsia="ja-JP"/>
        </w:rPr>
        <w:tab/>
      </w:r>
      <w:r>
        <w:rPr>
          <w:rFonts w:hint="eastAsia"/>
          <w:lang w:eastAsia="ja-JP"/>
        </w:rPr>
        <w:t>RAN2</w:t>
      </w:r>
    </w:p>
    <w:p w14:paraId="1BB7ECB9">
      <w:pPr>
        <w:pStyle w:val="4"/>
        <w:rPr>
          <w:lang w:eastAsia="ja-JP"/>
        </w:rPr>
      </w:pPr>
      <w:r>
        <w:rPr>
          <w:lang w:eastAsia="ja-JP"/>
        </w:rPr>
        <w:t>2.2.1</w:t>
      </w:r>
      <w:r>
        <w:rPr>
          <w:lang w:eastAsia="ja-JP"/>
        </w:rPr>
        <w:tab/>
      </w:r>
      <w:r>
        <w:rPr>
          <w:lang w:eastAsia="ja-JP"/>
        </w:rPr>
        <w:t>Agreements</w:t>
      </w:r>
    </w:p>
    <w:p w14:paraId="44CA9C9A">
      <w:pPr>
        <w:pStyle w:val="4"/>
        <w:rPr>
          <w:lang w:eastAsia="zh-CN"/>
        </w:rPr>
      </w:pPr>
      <w:r>
        <w:rPr>
          <w:lang w:eastAsia="ja-JP"/>
        </w:rPr>
        <w:t>2.2.2</w:t>
      </w:r>
      <w:r>
        <w:rPr>
          <w:lang w:eastAsia="ja-JP"/>
        </w:rPr>
        <w:tab/>
      </w:r>
      <w:r>
        <w:rPr>
          <w:lang w:eastAsia="ja-JP"/>
        </w:rPr>
        <w:t xml:space="preserve">Remaining Open issues </w:t>
      </w:r>
    </w:p>
    <w:p w14:paraId="3934634E">
      <w:pPr>
        <w:pStyle w:val="3"/>
        <w:rPr>
          <w:lang w:eastAsia="ja-JP"/>
        </w:rPr>
      </w:pPr>
      <w:r>
        <w:rPr>
          <w:lang w:eastAsia="ja-JP"/>
        </w:rPr>
        <w:t>2.3</w:t>
      </w:r>
      <w:r>
        <w:rPr>
          <w:lang w:eastAsia="ja-JP"/>
        </w:rPr>
        <w:tab/>
      </w:r>
      <w:r>
        <w:rPr>
          <w:rFonts w:hint="eastAsia"/>
          <w:lang w:eastAsia="ja-JP"/>
        </w:rPr>
        <w:t>RAN3</w:t>
      </w:r>
    </w:p>
    <w:p w14:paraId="4E846DFC">
      <w:pPr>
        <w:pStyle w:val="4"/>
        <w:rPr>
          <w:lang w:eastAsia="ja-JP"/>
        </w:rPr>
      </w:pPr>
      <w:r>
        <w:rPr>
          <w:lang w:eastAsia="ja-JP"/>
        </w:rPr>
        <w:t>2.3.1</w:t>
      </w:r>
      <w:r>
        <w:rPr>
          <w:lang w:eastAsia="ja-JP"/>
        </w:rPr>
        <w:tab/>
      </w:r>
      <w:r>
        <w:rPr>
          <w:lang w:eastAsia="ja-JP"/>
        </w:rPr>
        <w:t>Agreements</w:t>
      </w:r>
    </w:p>
    <w:p w14:paraId="59B70980">
      <w:pPr>
        <w:pStyle w:val="4"/>
        <w:rPr>
          <w:lang w:eastAsia="ja-JP"/>
        </w:rPr>
      </w:pPr>
      <w:r>
        <w:rPr>
          <w:lang w:eastAsia="ja-JP"/>
        </w:rPr>
        <w:t>2.3.2</w:t>
      </w:r>
      <w:r>
        <w:rPr>
          <w:lang w:eastAsia="ja-JP"/>
        </w:rPr>
        <w:tab/>
      </w:r>
      <w:r>
        <w:rPr>
          <w:lang w:eastAsia="ja-JP"/>
        </w:rPr>
        <w:t>Remaining Open issues</w:t>
      </w:r>
    </w:p>
    <w:p w14:paraId="1A24620D">
      <w:pPr>
        <w:pStyle w:val="3"/>
        <w:rPr>
          <w:lang w:eastAsia="ja-JP"/>
        </w:rPr>
      </w:pPr>
      <w:r>
        <w:rPr>
          <w:lang w:eastAsia="ja-JP"/>
        </w:rPr>
        <w:t>2.4</w:t>
      </w:r>
      <w:r>
        <w:rPr>
          <w:lang w:eastAsia="ja-JP"/>
        </w:rPr>
        <w:tab/>
      </w:r>
      <w:r>
        <w:rPr>
          <w:rFonts w:hint="eastAsia"/>
          <w:lang w:eastAsia="ja-JP"/>
        </w:rPr>
        <w:t>RAN4</w:t>
      </w:r>
    </w:p>
    <w:p w14:paraId="2ADFEFE7">
      <w:pPr>
        <w:pStyle w:val="4"/>
        <w:rPr>
          <w:lang w:eastAsia="ja-JP"/>
        </w:rPr>
      </w:pPr>
      <w:r>
        <w:rPr>
          <w:lang w:eastAsia="ja-JP"/>
        </w:rPr>
        <w:t>2.4.1</w:t>
      </w:r>
      <w:r>
        <w:rPr>
          <w:lang w:eastAsia="ja-JP"/>
        </w:rPr>
        <w:tab/>
      </w:r>
      <w:r>
        <w:rPr>
          <w:lang w:eastAsia="ja-JP"/>
        </w:rPr>
        <w:t>Agreements</w:t>
      </w:r>
    </w:p>
    <w:p w14:paraId="532E3BA3">
      <w:pPr>
        <w:pStyle w:val="5"/>
        <w:rPr>
          <w:rFonts w:eastAsiaTheme="minorEastAsia"/>
          <w:lang w:val="en-US" w:eastAsia="zh-CN"/>
        </w:rPr>
      </w:pPr>
      <w:r>
        <w:rPr>
          <w:rFonts w:hint="eastAsia"/>
          <w:lang w:val="en-US" w:eastAsia="zh-CN"/>
        </w:rPr>
        <w:t xml:space="preserve">RAN4 #114: </w:t>
      </w:r>
    </w:p>
    <w:p w14:paraId="14ABEFC6">
      <w:pPr>
        <w:spacing w:after="120"/>
        <w:rPr>
          <w:b/>
          <w:bCs/>
          <w:iCs/>
        </w:rPr>
      </w:pPr>
      <w:r>
        <w:rPr>
          <w:b/>
          <w:bCs/>
          <w:iCs/>
        </w:rPr>
        <w:t>Co</w:t>
      </w:r>
      <w:r>
        <w:rPr>
          <w:rFonts w:hint="eastAsia"/>
          <w:b/>
          <w:bCs/>
          <w:iCs/>
        </w:rPr>
        <w:t>r</w:t>
      </w:r>
      <w:r>
        <w:rPr>
          <w:b/>
          <w:bCs/>
          <w:iCs/>
        </w:rPr>
        <w:t>e and conformance testing for CLTA</w:t>
      </w:r>
    </w:p>
    <w:p w14:paraId="0B854C90">
      <w:pPr>
        <w:keepNext/>
        <w:keepLines/>
        <w:pageBreakBefore w:val="0"/>
        <w:widowControl/>
        <w:kinsoku/>
        <w:wordWrap/>
        <w:overflowPunct w:val="0"/>
        <w:topLinePunct w:val="0"/>
        <w:autoSpaceDE w:val="0"/>
        <w:autoSpaceDN w:val="0"/>
        <w:bidi w:val="0"/>
        <w:adjustRightInd w:val="0"/>
        <w:snapToGrid/>
        <w:ind w:left="1134" w:hanging="1134"/>
        <w:textAlignment w:val="baseline"/>
        <w:outlineLvl w:val="9"/>
        <w:rPr>
          <w:highlight w:val="yellow"/>
        </w:rPr>
      </w:pPr>
      <w:r>
        <w:t>Sub-topic 1-1: BS-to-BS isolation analysis</w:t>
      </w:r>
    </w:p>
    <w:p w14:paraId="13D6DA20">
      <w:r>
        <w:rPr>
          <w:b/>
          <w:lang w:eastAsia="zh-CN"/>
        </w:rPr>
        <w:t>Way forward</w:t>
      </w:r>
      <w:r>
        <w:rPr>
          <w:lang w:eastAsia="zh-CN"/>
        </w:rPr>
        <w:t>:</w:t>
      </w:r>
      <w:r>
        <w:rPr>
          <w:lang w:eastAsia="zh-CN"/>
        </w:rPr>
        <w:tab/>
      </w:r>
    </w:p>
    <w:p w14:paraId="0FA34CED">
      <w:pPr>
        <w:spacing w:after="120"/>
        <w:rPr>
          <w:color w:val="000000" w:themeColor="text1"/>
          <w:szCs w:val="24"/>
          <w:lang w:eastAsia="zh-CN"/>
          <w14:textFill>
            <w14:solidFill>
              <w14:schemeClr w14:val="tx1"/>
            </w14:solidFill>
          </w14:textFill>
        </w:rPr>
      </w:pPr>
      <w:r>
        <w:t xml:space="preserve">BS-to-BS isolation </w:t>
      </w:r>
      <w:r>
        <w:rPr>
          <w:color w:val="000000" w:themeColor="text1"/>
          <w:szCs w:val="24"/>
          <w:lang w:eastAsia="zh-CN"/>
          <w14:textFill>
            <w14:solidFill>
              <w14:schemeClr w14:val="tx1"/>
            </w14:solidFill>
          </w14:textFill>
        </w:rPr>
        <w:t xml:space="preserve">data collection to prioritize the following scenarios: </w:t>
      </w:r>
    </w:p>
    <w:p w14:paraId="18463754">
      <w:pPr>
        <w:pStyle w:val="134"/>
        <w:numPr>
          <w:ilvl w:val="0"/>
          <w:numId w:val="14"/>
        </w:numPr>
        <w:spacing w:after="120"/>
        <w:ind w:firstLineChars="0"/>
      </w:pPr>
      <w:r>
        <w:t>Horizontal domain prioritized (vertical BS stacking analyses not precluded);</w:t>
      </w:r>
    </w:p>
    <w:p w14:paraId="53AF6C80">
      <w:pPr>
        <w:pStyle w:val="134"/>
        <w:numPr>
          <w:ilvl w:val="0"/>
          <w:numId w:val="14"/>
        </w:numPr>
        <w:spacing w:after="120"/>
        <w:ind w:firstLineChars="0"/>
      </w:pPr>
      <w:r>
        <w:rPr>
          <w:color w:val="000000" w:themeColor="text1"/>
          <w:szCs w:val="24"/>
          <w:lang w:eastAsia="zh-CN"/>
          <w14:textFill>
            <w14:solidFill>
              <w14:schemeClr w14:val="tx1"/>
            </w14:solidFill>
          </w14:textFill>
        </w:rPr>
        <w:t>Same-band analysis (inter-band analysis not precluded),</w:t>
      </w:r>
    </w:p>
    <w:p w14:paraId="11AECE94">
      <w:pPr>
        <w:pStyle w:val="134"/>
        <w:numPr>
          <w:ilvl w:val="0"/>
          <w:numId w:val="14"/>
        </w:numPr>
        <w:spacing w:after="120"/>
        <w:ind w:firstLineChars="0"/>
      </w:pPr>
      <w:r>
        <w:rPr>
          <w:color w:val="000000" w:themeColor="text1"/>
          <w:szCs w:val="24"/>
          <w:lang w:eastAsia="zh-CN"/>
          <w14:textFill>
            <w14:solidFill>
              <w14:schemeClr w14:val="tx1"/>
            </w14:solidFill>
          </w14:textFill>
        </w:rPr>
        <w:t xml:space="preserve">Array-to-array case (array to sub-array not precluded); </w:t>
      </w:r>
    </w:p>
    <w:p w14:paraId="355EF433">
      <w:pPr>
        <w:pStyle w:val="134"/>
        <w:numPr>
          <w:ilvl w:val="0"/>
          <w:numId w:val="14"/>
        </w:numPr>
        <w:spacing w:after="120"/>
        <w:ind w:firstLineChars="0"/>
      </w:pPr>
      <w:r>
        <w:t>Same BS type for aggressor and victim (mixed cases of various BS types not precluded).</w:t>
      </w:r>
    </w:p>
    <w:p w14:paraId="061084FE">
      <w:pPr>
        <w:spacing w:after="120"/>
        <w:rPr>
          <w:b/>
          <w:bCs/>
        </w:rPr>
      </w:pPr>
    </w:p>
    <w:p w14:paraId="09000B2D">
      <w:pPr>
        <w:spacing w:after="120"/>
      </w:pPr>
      <w:r>
        <w:t>Guidance for collection of future results: Companies to clarify on the statistical distribution of the results provided (i.e., worst case, CDF, etc.)</w:t>
      </w:r>
    </w:p>
    <w:p w14:paraId="1D1105A3">
      <w:pPr>
        <w:spacing w:after="120"/>
      </w:pPr>
      <w:r>
        <w:t>For the derivation of the conclusion, [95-99</w:t>
      </w:r>
      <w:r>
        <w:rPr>
          <w:vertAlign w:val="superscript"/>
        </w:rPr>
        <w:t>th</w:t>
      </w:r>
      <w:r>
        <w:t>] percentile of CDF is expected to be used for simulations, or the worst-case results from measurements.</w:t>
      </w:r>
    </w:p>
    <w:p w14:paraId="1F125343">
      <w:pPr>
        <w:spacing w:after="120"/>
        <w:rPr>
          <w:u w:val="single"/>
        </w:rPr>
      </w:pPr>
    </w:p>
    <w:p w14:paraId="47F1998B">
      <w:pPr>
        <w:spacing w:after="120"/>
        <w:rPr>
          <w:color w:val="000000" w:themeColor="text1"/>
          <w:szCs w:val="24"/>
          <w:lang w:eastAsia="zh-CN"/>
          <w14:textFill>
            <w14:solidFill>
              <w14:schemeClr w14:val="tx1"/>
            </w14:solidFill>
          </w14:textFill>
        </w:rPr>
      </w:pPr>
      <w:r>
        <w:t xml:space="preserve">BS-to-BS isolation </w:t>
      </w:r>
      <w:r>
        <w:rPr>
          <w:color w:val="000000" w:themeColor="text1"/>
          <w:szCs w:val="24"/>
          <w:lang w:eastAsia="zh-CN"/>
          <w14:textFill>
            <w14:solidFill>
              <w14:schemeClr w14:val="tx1"/>
            </w14:solidFill>
          </w14:textFill>
        </w:rPr>
        <w:t>data (simulations, or measurements) to be collected on top of the data already collected in the following table formats:</w:t>
      </w:r>
    </w:p>
    <w:p w14:paraId="1C4278F7">
      <w:pPr>
        <w:pStyle w:val="134"/>
        <w:numPr>
          <w:ilvl w:val="0"/>
          <w:numId w:val="15"/>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No beam steering consideration; same band; same BS type; A-to-A (unless otherwise stated):</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7"/>
        <w:gridCol w:w="1581"/>
        <w:gridCol w:w="2149"/>
        <w:gridCol w:w="1901"/>
        <w:gridCol w:w="2452"/>
      </w:tblGrid>
      <w:tr w14:paraId="27D4A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jc w:val="center"/>
        </w:trPr>
        <w:tc>
          <w:tcPr>
            <w:tcW w:w="0" w:type="auto"/>
          </w:tcPr>
          <w:p w14:paraId="0769EBB3">
            <w:pPr>
              <w:pStyle w:val="48"/>
              <w:jc w:val="center"/>
              <w:rPr>
                <w:rFonts w:ascii="Times New Roman" w:hAnsi="Times New Roman" w:cs="Times New Roman"/>
                <w:sz w:val="20"/>
                <w:szCs w:val="20"/>
                <w:lang w:val="en-GB"/>
              </w:rPr>
            </w:pPr>
          </w:p>
        </w:tc>
        <w:tc>
          <w:tcPr>
            <w:tcW w:w="1581" w:type="dxa"/>
          </w:tcPr>
          <w:p w14:paraId="0583D6D2">
            <w:pPr>
              <w:pStyle w:val="48"/>
              <w:jc w:val="center"/>
              <w:rPr>
                <w:rFonts w:ascii="Times New Roman" w:hAnsi="Times New Roman" w:cs="Times New Roman"/>
                <w:sz w:val="20"/>
                <w:szCs w:val="20"/>
              </w:rPr>
            </w:pPr>
            <w:r>
              <w:rPr>
                <w:rFonts w:ascii="Times New Roman" w:hAnsi="Times New Roman" w:cs="Times New Roman"/>
                <w:b/>
                <w:bCs/>
                <w:sz w:val="20"/>
                <w:szCs w:val="20"/>
              </w:rPr>
              <w:t>2.6 GHz</w:t>
            </w:r>
          </w:p>
        </w:tc>
        <w:tc>
          <w:tcPr>
            <w:tcW w:w="2149" w:type="dxa"/>
          </w:tcPr>
          <w:p w14:paraId="2DD4F0E2">
            <w:pPr>
              <w:pStyle w:val="48"/>
              <w:jc w:val="center"/>
              <w:rPr>
                <w:rFonts w:ascii="Times New Roman" w:hAnsi="Times New Roman" w:cs="Times New Roman"/>
                <w:sz w:val="20"/>
                <w:szCs w:val="20"/>
              </w:rPr>
            </w:pPr>
            <w:r>
              <w:rPr>
                <w:rFonts w:ascii="Times New Roman" w:hAnsi="Times New Roman" w:cs="Times New Roman"/>
                <w:b/>
                <w:bCs/>
                <w:sz w:val="20"/>
                <w:szCs w:val="20"/>
              </w:rPr>
              <w:t>3.5 GHz</w:t>
            </w:r>
          </w:p>
        </w:tc>
        <w:tc>
          <w:tcPr>
            <w:tcW w:w="1901" w:type="dxa"/>
          </w:tcPr>
          <w:p w14:paraId="5D29E996">
            <w:pPr>
              <w:pStyle w:val="48"/>
              <w:jc w:val="center"/>
              <w:rPr>
                <w:rFonts w:ascii="Times New Roman" w:hAnsi="Times New Roman" w:cs="Times New Roman"/>
                <w:sz w:val="20"/>
                <w:szCs w:val="20"/>
              </w:rPr>
            </w:pPr>
            <w:r>
              <w:rPr>
                <w:rFonts w:ascii="Times New Roman" w:hAnsi="Times New Roman" w:cs="Times New Roman"/>
                <w:b/>
                <w:bCs/>
                <w:sz w:val="20"/>
                <w:szCs w:val="20"/>
              </w:rPr>
              <w:t>4.9 GHz</w:t>
            </w:r>
          </w:p>
        </w:tc>
        <w:tc>
          <w:tcPr>
            <w:tcW w:w="2452" w:type="dxa"/>
          </w:tcPr>
          <w:p w14:paraId="2BF31761">
            <w:pPr>
              <w:pStyle w:val="48"/>
              <w:jc w:val="center"/>
              <w:rPr>
                <w:rFonts w:ascii="Times New Roman" w:hAnsi="Times New Roman" w:cs="Times New Roman"/>
                <w:b/>
                <w:bCs/>
                <w:sz w:val="20"/>
                <w:szCs w:val="20"/>
              </w:rPr>
            </w:pPr>
            <w:r>
              <w:rPr>
                <w:rFonts w:ascii="Times New Roman" w:hAnsi="Times New Roman" w:cs="Times New Roman"/>
                <w:b/>
                <w:bCs/>
                <w:sz w:val="20"/>
                <w:szCs w:val="20"/>
              </w:rPr>
              <w:t>7 GHz</w:t>
            </w:r>
          </w:p>
        </w:tc>
      </w:tr>
      <w:tr w14:paraId="4AE09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tcPr>
          <w:p w14:paraId="2564EFC5">
            <w:pPr>
              <w:pStyle w:val="48"/>
              <w:jc w:val="center"/>
              <w:rPr>
                <w:rFonts w:ascii="Times New Roman" w:hAnsi="Times New Roman" w:cs="Times New Roman"/>
                <w:sz w:val="20"/>
                <w:szCs w:val="20"/>
              </w:rPr>
            </w:pPr>
            <w:r>
              <w:rPr>
                <w:rFonts w:ascii="Times New Roman" w:hAnsi="Times New Roman" w:cs="Times New Roman"/>
                <w:sz w:val="20"/>
                <w:szCs w:val="20"/>
              </w:rPr>
              <w:t>Isolation in vertical domain (dB)</w:t>
            </w:r>
          </w:p>
        </w:tc>
        <w:tc>
          <w:tcPr>
            <w:tcW w:w="1581" w:type="dxa"/>
          </w:tcPr>
          <w:p w14:paraId="2C4F2392">
            <w:pPr>
              <w:pStyle w:val="48"/>
              <w:jc w:val="center"/>
              <w:rPr>
                <w:rFonts w:ascii="Times New Roman" w:hAnsi="Times New Roman" w:cs="Times New Roman"/>
                <w:sz w:val="20"/>
                <w:szCs w:val="20"/>
              </w:rPr>
            </w:pPr>
            <w:r>
              <w:rPr>
                <w:rFonts w:ascii="Times New Roman" w:hAnsi="Times New Roman" w:cs="Times New Roman"/>
                <w:sz w:val="20"/>
                <w:szCs w:val="20"/>
              </w:rPr>
              <w:t>ZTE</w:t>
            </w:r>
            <w:r>
              <w:rPr>
                <w:rFonts w:ascii="Times New Roman" w:hAnsi="Times New Roman" w:cs="Times New Roman"/>
                <w:sz w:val="20"/>
                <w:szCs w:val="20"/>
                <w:lang w:val="pl-PL"/>
              </w:rPr>
              <w:t xml:space="preserve"> (M, R4-2501875)</w:t>
            </w:r>
            <w:r>
              <w:rPr>
                <w:rFonts w:ascii="Times New Roman" w:hAnsi="Times New Roman" w:cs="Times New Roman"/>
                <w:sz w:val="20"/>
                <w:szCs w:val="20"/>
              </w:rPr>
              <w:t>: -54</w:t>
            </w:r>
          </w:p>
        </w:tc>
        <w:tc>
          <w:tcPr>
            <w:tcW w:w="2149" w:type="dxa"/>
          </w:tcPr>
          <w:p w14:paraId="73146B0F">
            <w:pPr>
              <w:pStyle w:val="48"/>
              <w:jc w:val="center"/>
              <w:rPr>
                <w:rFonts w:ascii="Times New Roman" w:hAnsi="Times New Roman" w:cs="Times New Roman"/>
                <w:sz w:val="20"/>
                <w:szCs w:val="20"/>
              </w:rPr>
            </w:pPr>
            <w:r>
              <w:rPr>
                <w:rFonts w:ascii="Times New Roman" w:hAnsi="Times New Roman" w:cs="Times New Roman"/>
                <w:sz w:val="20"/>
                <w:szCs w:val="20"/>
              </w:rPr>
              <w:t>ZTE (R4-2501875): -52</w:t>
            </w:r>
          </w:p>
        </w:tc>
        <w:tc>
          <w:tcPr>
            <w:tcW w:w="1901" w:type="dxa"/>
          </w:tcPr>
          <w:p w14:paraId="715C022D">
            <w:pPr>
              <w:pStyle w:val="48"/>
              <w:jc w:val="center"/>
              <w:rPr>
                <w:rFonts w:ascii="Times New Roman" w:hAnsi="Times New Roman" w:cs="Times New Roman"/>
                <w:sz w:val="20"/>
                <w:szCs w:val="20"/>
              </w:rPr>
            </w:pPr>
            <w:r>
              <w:rPr>
                <w:rFonts w:ascii="Times New Roman" w:hAnsi="Times New Roman" w:cs="Times New Roman"/>
                <w:sz w:val="20"/>
                <w:szCs w:val="20"/>
              </w:rPr>
              <w:t>ZTE (</w:t>
            </w:r>
            <w:r>
              <w:rPr>
                <w:rFonts w:ascii="Times New Roman" w:hAnsi="Times New Roman" w:cs="Times New Roman"/>
                <w:sz w:val="20"/>
                <w:szCs w:val="20"/>
                <w:lang w:val="pl-PL"/>
              </w:rPr>
              <w:t>M, R4-2501875</w:t>
            </w:r>
            <w:r>
              <w:rPr>
                <w:rFonts w:ascii="Times New Roman" w:hAnsi="Times New Roman" w:cs="Times New Roman"/>
                <w:sz w:val="20"/>
                <w:szCs w:val="20"/>
              </w:rPr>
              <w:t>): -56</w:t>
            </w:r>
          </w:p>
        </w:tc>
        <w:tc>
          <w:tcPr>
            <w:tcW w:w="2452" w:type="dxa"/>
          </w:tcPr>
          <w:p w14:paraId="71CC6F8E">
            <w:pPr>
              <w:pStyle w:val="48"/>
              <w:jc w:val="center"/>
              <w:rPr>
                <w:rFonts w:ascii="Times New Roman" w:hAnsi="Times New Roman" w:cs="Times New Roman"/>
                <w:sz w:val="20"/>
                <w:szCs w:val="20"/>
              </w:rPr>
            </w:pPr>
          </w:p>
        </w:tc>
      </w:tr>
      <w:tr w14:paraId="37BCA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tcPr>
          <w:p w14:paraId="259389A6">
            <w:pPr>
              <w:pStyle w:val="48"/>
              <w:jc w:val="center"/>
              <w:rPr>
                <w:rFonts w:ascii="Times New Roman" w:hAnsi="Times New Roman" w:cs="Times New Roman"/>
                <w:sz w:val="20"/>
                <w:szCs w:val="20"/>
              </w:rPr>
            </w:pPr>
            <w:r>
              <w:rPr>
                <w:rFonts w:ascii="Times New Roman" w:hAnsi="Times New Roman" w:cs="Times New Roman"/>
                <w:sz w:val="20"/>
                <w:szCs w:val="20"/>
              </w:rPr>
              <w:t>Isolation in horizontal domain (dB)</w:t>
            </w:r>
          </w:p>
        </w:tc>
        <w:tc>
          <w:tcPr>
            <w:tcW w:w="1581" w:type="dxa"/>
          </w:tcPr>
          <w:p w14:paraId="28146FC9">
            <w:pPr>
              <w:pStyle w:val="48"/>
              <w:jc w:val="center"/>
              <w:rPr>
                <w:rFonts w:ascii="Times New Roman" w:hAnsi="Times New Roman" w:cs="Times New Roman"/>
                <w:sz w:val="20"/>
                <w:szCs w:val="20"/>
              </w:rPr>
            </w:pPr>
            <w:r>
              <w:rPr>
                <w:rFonts w:ascii="Times New Roman" w:hAnsi="Times New Roman" w:cs="Times New Roman"/>
                <w:sz w:val="20"/>
                <w:szCs w:val="20"/>
              </w:rPr>
              <w:t>ZTE</w:t>
            </w:r>
            <w:r>
              <w:rPr>
                <w:rFonts w:ascii="Times New Roman" w:hAnsi="Times New Roman" w:cs="Times New Roman"/>
                <w:sz w:val="20"/>
                <w:szCs w:val="20"/>
                <w:lang w:val="pl-PL"/>
              </w:rPr>
              <w:t xml:space="preserve"> (M, R4-2501875)</w:t>
            </w:r>
            <w:r>
              <w:rPr>
                <w:rFonts w:ascii="Times New Roman" w:hAnsi="Times New Roman" w:cs="Times New Roman"/>
                <w:sz w:val="20"/>
                <w:szCs w:val="20"/>
              </w:rPr>
              <w:t>: -31</w:t>
            </w:r>
          </w:p>
        </w:tc>
        <w:tc>
          <w:tcPr>
            <w:tcW w:w="2149" w:type="dxa"/>
          </w:tcPr>
          <w:p w14:paraId="33113AA0">
            <w:pPr>
              <w:pStyle w:val="48"/>
              <w:jc w:val="center"/>
              <w:rPr>
                <w:rFonts w:ascii="Times New Roman" w:hAnsi="Times New Roman" w:cs="Times New Roman"/>
                <w:sz w:val="20"/>
                <w:szCs w:val="20"/>
                <w:lang w:val="pl-PL"/>
              </w:rPr>
            </w:pPr>
            <w:r>
              <w:rPr>
                <w:rFonts w:ascii="Times New Roman" w:hAnsi="Times New Roman" w:cs="Times New Roman"/>
                <w:sz w:val="20"/>
                <w:szCs w:val="20"/>
                <w:lang w:val="pl-PL"/>
              </w:rPr>
              <w:t>ZTE (M, R4-2501875): -34</w:t>
            </w:r>
          </w:p>
          <w:p w14:paraId="3702E657">
            <w:pPr>
              <w:pStyle w:val="48"/>
              <w:jc w:val="center"/>
              <w:rPr>
                <w:rFonts w:ascii="Times New Roman" w:hAnsi="Times New Roman" w:cs="Times New Roman"/>
                <w:sz w:val="20"/>
                <w:szCs w:val="20"/>
                <w:lang w:val="pl-PL"/>
              </w:rPr>
            </w:pPr>
            <w:r>
              <w:rPr>
                <w:rFonts w:ascii="Times New Roman" w:hAnsi="Times New Roman" w:cs="Times New Roman"/>
                <w:sz w:val="20"/>
                <w:szCs w:val="20"/>
                <w:lang w:val="pl-PL"/>
              </w:rPr>
              <w:t>Huawei (M, R4-2502135): -46</w:t>
            </w:r>
          </w:p>
          <w:p w14:paraId="054B65C2">
            <w:pPr>
              <w:pStyle w:val="48"/>
              <w:jc w:val="center"/>
              <w:rPr>
                <w:rFonts w:ascii="Times New Roman" w:hAnsi="Times New Roman" w:cs="Times New Roman"/>
                <w:sz w:val="20"/>
                <w:szCs w:val="20"/>
                <w:lang w:val="pl-PL"/>
              </w:rPr>
            </w:pPr>
          </w:p>
        </w:tc>
        <w:tc>
          <w:tcPr>
            <w:tcW w:w="1901" w:type="dxa"/>
          </w:tcPr>
          <w:p w14:paraId="388B8843">
            <w:pPr>
              <w:pStyle w:val="48"/>
              <w:jc w:val="center"/>
              <w:rPr>
                <w:rFonts w:ascii="Times New Roman" w:hAnsi="Times New Roman" w:cs="Times New Roman"/>
                <w:sz w:val="20"/>
                <w:szCs w:val="20"/>
              </w:rPr>
            </w:pPr>
            <w:r>
              <w:rPr>
                <w:rFonts w:ascii="Times New Roman" w:hAnsi="Times New Roman" w:cs="Times New Roman"/>
                <w:sz w:val="20"/>
                <w:szCs w:val="20"/>
              </w:rPr>
              <w:t>ZTE (</w:t>
            </w:r>
            <w:r>
              <w:rPr>
                <w:rFonts w:ascii="Times New Roman" w:hAnsi="Times New Roman" w:cs="Times New Roman"/>
                <w:sz w:val="20"/>
                <w:szCs w:val="20"/>
                <w:lang w:val="pl-PL"/>
              </w:rPr>
              <w:t>M, R4-2501875</w:t>
            </w:r>
            <w:r>
              <w:rPr>
                <w:rFonts w:ascii="Times New Roman" w:hAnsi="Times New Roman" w:cs="Times New Roman"/>
                <w:sz w:val="20"/>
                <w:szCs w:val="20"/>
              </w:rPr>
              <w:t>): -46</w:t>
            </w:r>
          </w:p>
        </w:tc>
        <w:tc>
          <w:tcPr>
            <w:tcW w:w="2452" w:type="dxa"/>
          </w:tcPr>
          <w:p w14:paraId="5BF74270">
            <w:pPr>
              <w:pStyle w:val="48"/>
              <w:jc w:val="center"/>
              <w:rPr>
                <w:rFonts w:ascii="Times New Roman" w:hAnsi="Times New Roman" w:cs="Times New Roman"/>
                <w:sz w:val="20"/>
                <w:szCs w:val="20"/>
              </w:rPr>
            </w:pPr>
          </w:p>
        </w:tc>
      </w:tr>
      <w:tr w14:paraId="3EDAA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10457" w:type="dxa"/>
            <w:gridSpan w:val="5"/>
          </w:tcPr>
          <w:p w14:paraId="5BC4515C">
            <w:pPr>
              <w:pStyle w:val="134"/>
              <w:numPr>
                <w:ilvl w:val="0"/>
                <w:numId w:val="16"/>
              </w:numPr>
              <w:ind w:firstLineChars="0"/>
            </w:pPr>
            <w:r>
              <w:t>S: simulations</w:t>
            </w:r>
          </w:p>
          <w:p w14:paraId="15722924">
            <w:pPr>
              <w:pStyle w:val="134"/>
              <w:numPr>
                <w:ilvl w:val="0"/>
                <w:numId w:val="16"/>
              </w:numPr>
              <w:ind w:firstLineChars="0"/>
            </w:pPr>
            <w:r>
              <w:t>M: measurements</w:t>
            </w:r>
          </w:p>
          <w:p w14:paraId="57A10113">
            <w:pPr>
              <w:pStyle w:val="134"/>
              <w:numPr>
                <w:ilvl w:val="0"/>
                <w:numId w:val="16"/>
              </w:numPr>
              <w:ind w:firstLineChars="0"/>
            </w:pPr>
            <w:r>
              <w:t>A-to-A: array to array coupling</w:t>
            </w:r>
          </w:p>
          <w:p w14:paraId="508CA675">
            <w:pPr>
              <w:pStyle w:val="134"/>
              <w:numPr>
                <w:ilvl w:val="0"/>
                <w:numId w:val="16"/>
              </w:numPr>
              <w:ind w:firstLineChars="0"/>
            </w:pPr>
            <w:r>
              <w:t>A-to-SA: array to sub-array coupling</w:t>
            </w:r>
          </w:p>
        </w:tc>
      </w:tr>
    </w:tbl>
    <w:p w14:paraId="1ABAB770">
      <w:pPr>
        <w:rPr>
          <w:rFonts w:ascii="Calibri" w:hAnsi="Calibri" w:cs="Calibri"/>
          <w:sz w:val="22"/>
          <w:szCs w:val="22"/>
        </w:rPr>
      </w:pPr>
    </w:p>
    <w:p w14:paraId="0A2419BC">
      <w:pPr>
        <w:pStyle w:val="134"/>
        <w:numPr>
          <w:ilvl w:val="0"/>
          <w:numId w:val="15"/>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Beam steering consideration; same band; same BS type; A-to-A (unless otherwise stated):</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2"/>
        <w:gridCol w:w="1081"/>
        <w:gridCol w:w="2597"/>
        <w:gridCol w:w="1447"/>
        <w:gridCol w:w="3203"/>
      </w:tblGrid>
      <w:tr w14:paraId="00D5D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jc w:val="center"/>
        </w:trPr>
        <w:tc>
          <w:tcPr>
            <w:tcW w:w="0" w:type="auto"/>
          </w:tcPr>
          <w:p w14:paraId="6C19E377">
            <w:pPr>
              <w:pStyle w:val="48"/>
              <w:jc w:val="center"/>
              <w:rPr>
                <w:rFonts w:ascii="Times New Roman" w:hAnsi="Times New Roman" w:cs="Times New Roman"/>
                <w:sz w:val="20"/>
                <w:szCs w:val="20"/>
              </w:rPr>
            </w:pPr>
          </w:p>
        </w:tc>
        <w:tc>
          <w:tcPr>
            <w:tcW w:w="1081" w:type="dxa"/>
          </w:tcPr>
          <w:p w14:paraId="38383FC5">
            <w:pPr>
              <w:pStyle w:val="48"/>
              <w:jc w:val="center"/>
              <w:rPr>
                <w:rFonts w:ascii="Times New Roman" w:hAnsi="Times New Roman" w:cs="Times New Roman"/>
                <w:sz w:val="20"/>
                <w:szCs w:val="20"/>
              </w:rPr>
            </w:pPr>
            <w:r>
              <w:rPr>
                <w:rFonts w:ascii="Times New Roman" w:hAnsi="Times New Roman" w:cs="Times New Roman"/>
                <w:b/>
                <w:bCs/>
                <w:sz w:val="20"/>
                <w:szCs w:val="20"/>
              </w:rPr>
              <w:t>2.6 GHz</w:t>
            </w:r>
          </w:p>
        </w:tc>
        <w:tc>
          <w:tcPr>
            <w:tcW w:w="2597" w:type="dxa"/>
          </w:tcPr>
          <w:p w14:paraId="60F34600">
            <w:pPr>
              <w:pStyle w:val="48"/>
              <w:jc w:val="center"/>
              <w:rPr>
                <w:rFonts w:ascii="Times New Roman" w:hAnsi="Times New Roman" w:cs="Times New Roman"/>
                <w:sz w:val="20"/>
                <w:szCs w:val="20"/>
              </w:rPr>
            </w:pPr>
            <w:r>
              <w:rPr>
                <w:rFonts w:ascii="Times New Roman" w:hAnsi="Times New Roman" w:cs="Times New Roman"/>
                <w:b/>
                <w:bCs/>
                <w:sz w:val="20"/>
                <w:szCs w:val="20"/>
              </w:rPr>
              <w:t>3.5 GHz</w:t>
            </w:r>
          </w:p>
        </w:tc>
        <w:tc>
          <w:tcPr>
            <w:tcW w:w="1447" w:type="dxa"/>
          </w:tcPr>
          <w:p w14:paraId="6FD15B3E">
            <w:pPr>
              <w:pStyle w:val="48"/>
              <w:jc w:val="center"/>
              <w:rPr>
                <w:rFonts w:ascii="Times New Roman" w:hAnsi="Times New Roman" w:cs="Times New Roman"/>
                <w:sz w:val="20"/>
                <w:szCs w:val="20"/>
              </w:rPr>
            </w:pPr>
            <w:r>
              <w:rPr>
                <w:rFonts w:ascii="Times New Roman" w:hAnsi="Times New Roman" w:cs="Times New Roman"/>
                <w:b/>
                <w:bCs/>
                <w:sz w:val="20"/>
                <w:szCs w:val="20"/>
              </w:rPr>
              <w:t>4.9 GHz</w:t>
            </w:r>
          </w:p>
        </w:tc>
        <w:tc>
          <w:tcPr>
            <w:tcW w:w="0" w:type="auto"/>
          </w:tcPr>
          <w:p w14:paraId="4DA65348">
            <w:pPr>
              <w:pStyle w:val="48"/>
              <w:jc w:val="center"/>
              <w:rPr>
                <w:rFonts w:ascii="Times New Roman" w:hAnsi="Times New Roman" w:cs="Times New Roman"/>
                <w:b/>
                <w:bCs/>
                <w:sz w:val="20"/>
                <w:szCs w:val="20"/>
              </w:rPr>
            </w:pPr>
            <w:r>
              <w:rPr>
                <w:rFonts w:ascii="Times New Roman" w:hAnsi="Times New Roman" w:cs="Times New Roman"/>
                <w:b/>
                <w:bCs/>
                <w:sz w:val="20"/>
                <w:szCs w:val="20"/>
              </w:rPr>
              <w:t>6.7 GHz --&gt; 7 GHz</w:t>
            </w:r>
          </w:p>
        </w:tc>
      </w:tr>
      <w:tr w14:paraId="7C357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tcPr>
          <w:p w14:paraId="25D09F30">
            <w:pPr>
              <w:pStyle w:val="48"/>
              <w:jc w:val="center"/>
              <w:rPr>
                <w:rFonts w:ascii="Times New Roman" w:hAnsi="Times New Roman" w:cs="Times New Roman"/>
                <w:sz w:val="20"/>
                <w:szCs w:val="20"/>
              </w:rPr>
            </w:pPr>
            <w:r>
              <w:rPr>
                <w:rFonts w:ascii="Times New Roman" w:hAnsi="Times New Roman" w:cs="Times New Roman"/>
                <w:sz w:val="20"/>
                <w:szCs w:val="20"/>
              </w:rPr>
              <w:t>Isolation in vertical domain (dB)</w:t>
            </w:r>
          </w:p>
        </w:tc>
        <w:tc>
          <w:tcPr>
            <w:tcW w:w="1081" w:type="dxa"/>
          </w:tcPr>
          <w:p w14:paraId="4F77C4B0">
            <w:pPr>
              <w:pStyle w:val="48"/>
              <w:jc w:val="center"/>
              <w:rPr>
                <w:rFonts w:ascii="Times New Roman" w:hAnsi="Times New Roman" w:cs="Times New Roman"/>
                <w:sz w:val="20"/>
                <w:szCs w:val="20"/>
              </w:rPr>
            </w:pPr>
          </w:p>
        </w:tc>
        <w:tc>
          <w:tcPr>
            <w:tcW w:w="2597" w:type="dxa"/>
          </w:tcPr>
          <w:p w14:paraId="40C16785">
            <w:pPr>
              <w:pStyle w:val="48"/>
              <w:jc w:val="center"/>
              <w:rPr>
                <w:rFonts w:ascii="Times New Roman" w:hAnsi="Times New Roman" w:cs="Times New Roman"/>
                <w:sz w:val="20"/>
                <w:szCs w:val="20"/>
              </w:rPr>
            </w:pPr>
          </w:p>
        </w:tc>
        <w:tc>
          <w:tcPr>
            <w:tcW w:w="1447" w:type="dxa"/>
          </w:tcPr>
          <w:p w14:paraId="56AD37BA">
            <w:pPr>
              <w:pStyle w:val="48"/>
              <w:jc w:val="center"/>
              <w:rPr>
                <w:rFonts w:ascii="Times New Roman" w:hAnsi="Times New Roman" w:cs="Times New Roman"/>
                <w:sz w:val="20"/>
                <w:szCs w:val="20"/>
              </w:rPr>
            </w:pPr>
          </w:p>
        </w:tc>
        <w:tc>
          <w:tcPr>
            <w:tcW w:w="0" w:type="auto"/>
          </w:tcPr>
          <w:p w14:paraId="4E3FAF50">
            <w:pPr>
              <w:pStyle w:val="48"/>
              <w:jc w:val="center"/>
              <w:rPr>
                <w:rFonts w:ascii="Times New Roman" w:hAnsi="Times New Roman" w:cs="Times New Roman"/>
                <w:sz w:val="20"/>
                <w:szCs w:val="20"/>
              </w:rPr>
            </w:pPr>
          </w:p>
        </w:tc>
      </w:tr>
      <w:tr w14:paraId="1E998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tcPr>
          <w:p w14:paraId="2AAD97C0">
            <w:pPr>
              <w:pStyle w:val="48"/>
              <w:jc w:val="center"/>
              <w:rPr>
                <w:rFonts w:ascii="Times New Roman" w:hAnsi="Times New Roman" w:cs="Times New Roman"/>
                <w:sz w:val="20"/>
                <w:szCs w:val="20"/>
              </w:rPr>
            </w:pPr>
            <w:r>
              <w:rPr>
                <w:rFonts w:ascii="Times New Roman" w:hAnsi="Times New Roman" w:cs="Times New Roman"/>
                <w:sz w:val="20"/>
                <w:szCs w:val="20"/>
              </w:rPr>
              <w:t>Isolation in horizontal domain (dB)</w:t>
            </w:r>
          </w:p>
        </w:tc>
        <w:tc>
          <w:tcPr>
            <w:tcW w:w="1081" w:type="dxa"/>
          </w:tcPr>
          <w:p w14:paraId="60A37BF0">
            <w:pPr>
              <w:pStyle w:val="48"/>
              <w:jc w:val="center"/>
              <w:rPr>
                <w:rFonts w:ascii="Times New Roman" w:hAnsi="Times New Roman" w:cs="Times New Roman"/>
                <w:sz w:val="20"/>
                <w:szCs w:val="20"/>
              </w:rPr>
            </w:pPr>
          </w:p>
        </w:tc>
        <w:tc>
          <w:tcPr>
            <w:tcW w:w="2597" w:type="dxa"/>
          </w:tcPr>
          <w:p w14:paraId="4AF73C46">
            <w:pPr>
              <w:pStyle w:val="48"/>
              <w:jc w:val="center"/>
              <w:rPr>
                <w:rFonts w:ascii="Times New Roman" w:hAnsi="Times New Roman" w:cs="Times New Roman"/>
                <w:sz w:val="20"/>
                <w:szCs w:val="20"/>
              </w:rPr>
            </w:pPr>
            <w:r>
              <w:rPr>
                <w:rFonts w:ascii="Times New Roman" w:hAnsi="Times New Roman" w:cs="Times New Roman"/>
                <w:sz w:val="20"/>
                <w:szCs w:val="20"/>
              </w:rPr>
              <w:t>S: Ericsson (R4-2418398): A-to-SA: -55±20 dB</w:t>
            </w:r>
          </w:p>
        </w:tc>
        <w:tc>
          <w:tcPr>
            <w:tcW w:w="1447" w:type="dxa"/>
          </w:tcPr>
          <w:p w14:paraId="09D0297E">
            <w:pPr>
              <w:pStyle w:val="48"/>
              <w:jc w:val="center"/>
              <w:rPr>
                <w:rFonts w:ascii="Times New Roman" w:hAnsi="Times New Roman" w:cs="Times New Roman"/>
                <w:sz w:val="20"/>
                <w:szCs w:val="20"/>
              </w:rPr>
            </w:pPr>
          </w:p>
        </w:tc>
        <w:tc>
          <w:tcPr>
            <w:tcW w:w="0" w:type="auto"/>
          </w:tcPr>
          <w:p w14:paraId="11D47502">
            <w:pPr>
              <w:pStyle w:val="48"/>
              <w:jc w:val="center"/>
              <w:rPr>
                <w:rFonts w:ascii="Times New Roman" w:hAnsi="Times New Roman" w:cs="Times New Roman"/>
                <w:sz w:val="20"/>
                <w:szCs w:val="20"/>
              </w:rPr>
            </w:pPr>
            <w:r>
              <w:rPr>
                <w:rFonts w:ascii="Times New Roman" w:hAnsi="Times New Roman" w:cs="Times New Roman"/>
                <w:sz w:val="20"/>
                <w:szCs w:val="20"/>
              </w:rPr>
              <w:t>S: Ericsson (R4-2502160): A-to-A: -77±25; A-to-SA: -70±20</w:t>
            </w:r>
          </w:p>
        </w:tc>
      </w:tr>
    </w:tbl>
    <w:p w14:paraId="01BFA8A0">
      <w:pPr>
        <w:rPr>
          <w:rFonts w:ascii="Calibri" w:hAnsi="Calibri" w:cs="Calibri"/>
          <w:sz w:val="22"/>
          <w:szCs w:val="22"/>
          <w:highlight w:val="cyan"/>
        </w:rPr>
      </w:pPr>
    </w:p>
    <w:p w14:paraId="4EDCFE5F">
      <w:r>
        <w:t>For the deprioritized scenarios, reuse table templates as above.</w:t>
      </w:r>
    </w:p>
    <w:p w14:paraId="75245472">
      <w:pPr>
        <w:pStyle w:val="134"/>
        <w:numPr>
          <w:ilvl w:val="0"/>
          <w:numId w:val="15"/>
        </w:numPr>
        <w:ind w:firstLineChars="0"/>
      </w:pPr>
      <w:r>
        <w:t>Timeline for BS-to-BS isolation data collection: conclusion on the BS-to-BS isolation analysis to be reached no later than August 2025 meeting (RAN4#116).</w:t>
      </w:r>
    </w:p>
    <w:p w14:paraId="2D65D44B">
      <w:pPr>
        <w:pStyle w:val="134"/>
        <w:numPr>
          <w:ilvl w:val="0"/>
          <w:numId w:val="15"/>
        </w:numPr>
        <w:ind w:firstLineChars="0"/>
      </w:pPr>
      <w:r>
        <w:t>Data collection for other carrier frequencies is not precluded.</w:t>
      </w:r>
    </w:p>
    <w:p w14:paraId="349C3292">
      <w:pPr>
        <w:pStyle w:val="134"/>
        <w:numPr>
          <w:ilvl w:val="0"/>
          <w:numId w:val="15"/>
        </w:numPr>
        <w:ind w:firstLineChars="0"/>
      </w:pPr>
      <w:r>
        <w:t>Any future conclusion on isolation numbers is subject to availability of sufficient amount of data from multiple companies and can be decided case-by-case.</w:t>
      </w:r>
    </w:p>
    <w:p w14:paraId="2D120394">
      <w:pPr>
        <w:keepNext/>
        <w:keepLines/>
        <w:pageBreakBefore w:val="0"/>
        <w:widowControl/>
        <w:kinsoku/>
        <w:wordWrap/>
        <w:overflowPunct w:val="0"/>
        <w:topLinePunct w:val="0"/>
        <w:autoSpaceDE w:val="0"/>
        <w:autoSpaceDN w:val="0"/>
        <w:bidi w:val="0"/>
        <w:adjustRightInd w:val="0"/>
        <w:snapToGrid/>
        <w:ind w:left="0" w:firstLine="0"/>
        <w:textAlignment w:val="baseline"/>
        <w:outlineLvl w:val="9"/>
      </w:pPr>
      <w:r>
        <w:t>Sub-topic 1-2: Specifications set baseline</w:t>
      </w:r>
    </w:p>
    <w:p w14:paraId="20E71953">
      <w:pPr>
        <w:overflowPunct/>
        <w:autoSpaceDE/>
        <w:autoSpaceDN/>
        <w:adjustRightInd/>
        <w:spacing w:after="120"/>
        <w:textAlignment w:val="auto"/>
        <w:rPr>
          <w:lang w:eastAsia="zh-CN"/>
        </w:rPr>
      </w:pPr>
      <w:r>
        <w:rPr>
          <w:b/>
          <w:lang w:eastAsia="zh-CN"/>
        </w:rPr>
        <w:t>Way forward</w:t>
      </w:r>
      <w:r>
        <w:rPr>
          <w:lang w:eastAsia="zh-CN"/>
        </w:rPr>
        <w:t>:</w:t>
      </w:r>
      <w:r>
        <w:t xml:space="preserve"> Baseline set of s</w:t>
      </w:r>
      <w:r>
        <w:rPr>
          <w:lang w:eastAsia="zh-CN"/>
        </w:rPr>
        <w:t>pecifications for implementation of the BS-BS isolation conclusions:</w:t>
      </w:r>
    </w:p>
    <w:p w14:paraId="48FD24F1">
      <w:pPr>
        <w:pStyle w:val="240"/>
        <w:widowControl w:val="0"/>
        <w:numPr>
          <w:ilvl w:val="0"/>
          <w:numId w:val="17"/>
        </w:numPr>
        <w:overflowPunct/>
        <w:autoSpaceDE/>
        <w:autoSpaceDN/>
        <w:adjustRightInd/>
        <w:spacing w:after="160" w:line="259" w:lineRule="auto"/>
        <w:jc w:val="both"/>
      </w:pPr>
      <w:r>
        <w:t>TS 37.105</w:t>
      </w:r>
    </w:p>
    <w:p w14:paraId="5584A2A7">
      <w:pPr>
        <w:pStyle w:val="240"/>
        <w:widowControl w:val="0"/>
        <w:numPr>
          <w:ilvl w:val="0"/>
          <w:numId w:val="17"/>
        </w:numPr>
        <w:overflowPunct/>
        <w:autoSpaceDE/>
        <w:autoSpaceDN/>
        <w:adjustRightInd/>
        <w:spacing w:after="160" w:line="259" w:lineRule="auto"/>
        <w:jc w:val="both"/>
      </w:pPr>
      <w:r>
        <w:t>TS 37.145-1/-2</w:t>
      </w:r>
    </w:p>
    <w:p w14:paraId="033536F2">
      <w:pPr>
        <w:pStyle w:val="240"/>
        <w:widowControl w:val="0"/>
        <w:numPr>
          <w:ilvl w:val="0"/>
          <w:numId w:val="17"/>
        </w:numPr>
        <w:overflowPunct/>
        <w:autoSpaceDE/>
        <w:autoSpaceDN/>
        <w:adjustRightInd/>
        <w:spacing w:after="160" w:line="259" w:lineRule="auto"/>
        <w:jc w:val="both"/>
      </w:pPr>
      <w:r>
        <w:rPr>
          <w:rFonts w:hint="eastAsia"/>
          <w:lang w:val="en-US" w:eastAsia="zh-CN"/>
        </w:rPr>
        <w:t>TS 38.104</w:t>
      </w:r>
    </w:p>
    <w:p w14:paraId="2B89A307">
      <w:pPr>
        <w:pStyle w:val="240"/>
        <w:widowControl w:val="0"/>
        <w:numPr>
          <w:ilvl w:val="0"/>
          <w:numId w:val="17"/>
        </w:numPr>
        <w:overflowPunct/>
        <w:autoSpaceDE/>
        <w:autoSpaceDN/>
        <w:adjustRightInd/>
        <w:spacing w:after="160" w:line="259" w:lineRule="auto"/>
        <w:jc w:val="both"/>
      </w:pPr>
      <w:r>
        <w:rPr>
          <w:rFonts w:hint="eastAsia"/>
          <w:lang w:val="en-US" w:eastAsia="zh-CN"/>
        </w:rPr>
        <w:t>TS 38.141-1/</w:t>
      </w:r>
      <w:r>
        <w:rPr>
          <w:lang w:val="en-US" w:eastAsia="zh-CN"/>
        </w:rPr>
        <w:t>-</w:t>
      </w:r>
      <w:r>
        <w:rPr>
          <w:rFonts w:hint="eastAsia"/>
          <w:lang w:val="en-US" w:eastAsia="zh-CN"/>
        </w:rPr>
        <w:t>2</w:t>
      </w:r>
    </w:p>
    <w:p w14:paraId="5A401777">
      <w:pPr>
        <w:pStyle w:val="240"/>
        <w:widowControl w:val="0"/>
        <w:numPr>
          <w:ilvl w:val="0"/>
          <w:numId w:val="17"/>
        </w:numPr>
        <w:overflowPunct/>
        <w:autoSpaceDE/>
        <w:autoSpaceDN/>
        <w:adjustRightInd/>
        <w:spacing w:after="160" w:line="259" w:lineRule="auto"/>
        <w:jc w:val="both"/>
      </w:pPr>
      <w:r>
        <w:rPr>
          <w:rFonts w:hint="eastAsia"/>
          <w:lang w:val="en-US" w:eastAsia="zh-CN"/>
        </w:rPr>
        <w:t>TS 38.174</w:t>
      </w:r>
    </w:p>
    <w:p w14:paraId="67D10B7E">
      <w:pPr>
        <w:pStyle w:val="240"/>
        <w:widowControl w:val="0"/>
        <w:numPr>
          <w:ilvl w:val="0"/>
          <w:numId w:val="17"/>
        </w:numPr>
        <w:overflowPunct/>
        <w:autoSpaceDE/>
        <w:autoSpaceDN/>
        <w:adjustRightInd/>
        <w:spacing w:after="160" w:line="259" w:lineRule="auto"/>
        <w:jc w:val="both"/>
      </w:pPr>
      <w:r>
        <w:rPr>
          <w:rFonts w:hint="eastAsia"/>
          <w:lang w:val="en-US" w:eastAsia="zh-CN"/>
        </w:rPr>
        <w:t>TS 38.176-1/</w:t>
      </w:r>
      <w:r>
        <w:rPr>
          <w:lang w:val="en-US" w:eastAsia="zh-CN"/>
        </w:rPr>
        <w:t>-</w:t>
      </w:r>
      <w:r>
        <w:rPr>
          <w:rFonts w:hint="eastAsia"/>
          <w:lang w:val="en-US" w:eastAsia="zh-CN"/>
        </w:rPr>
        <w:t>2</w:t>
      </w:r>
    </w:p>
    <w:p w14:paraId="59B2C3C1">
      <w:pPr>
        <w:pStyle w:val="240"/>
        <w:widowControl w:val="0"/>
        <w:numPr>
          <w:ilvl w:val="0"/>
          <w:numId w:val="17"/>
        </w:numPr>
        <w:overflowPunct/>
        <w:autoSpaceDE/>
        <w:autoSpaceDN/>
        <w:adjustRightInd/>
        <w:spacing w:after="160" w:line="259" w:lineRule="auto"/>
        <w:jc w:val="both"/>
      </w:pPr>
      <w:r>
        <w:rPr>
          <w:rFonts w:hint="eastAsia"/>
          <w:lang w:val="en-US" w:eastAsia="zh-CN"/>
        </w:rPr>
        <w:t>TS 38.106</w:t>
      </w:r>
    </w:p>
    <w:p w14:paraId="3A0C9AEE">
      <w:pPr>
        <w:pStyle w:val="240"/>
        <w:widowControl w:val="0"/>
        <w:numPr>
          <w:ilvl w:val="0"/>
          <w:numId w:val="17"/>
        </w:numPr>
        <w:overflowPunct/>
        <w:autoSpaceDE/>
        <w:autoSpaceDN/>
        <w:adjustRightInd/>
        <w:spacing w:after="160" w:line="259" w:lineRule="auto"/>
        <w:jc w:val="both"/>
      </w:pPr>
      <w:r>
        <w:rPr>
          <w:rFonts w:hint="eastAsia"/>
          <w:lang w:val="en-US" w:eastAsia="zh-CN"/>
        </w:rPr>
        <w:t>TS 38.115-1/</w:t>
      </w:r>
      <w:r>
        <w:rPr>
          <w:lang w:val="en-US" w:eastAsia="zh-CN"/>
        </w:rPr>
        <w:t>-</w:t>
      </w:r>
      <w:r>
        <w:rPr>
          <w:rFonts w:hint="eastAsia"/>
          <w:lang w:val="en-US" w:eastAsia="zh-CN"/>
        </w:rPr>
        <w:t xml:space="preserve">2 </w:t>
      </w:r>
    </w:p>
    <w:p w14:paraId="273F46AF"/>
    <w:p w14:paraId="01D5E569">
      <w:pPr>
        <w:keepNext/>
        <w:keepLines/>
        <w:pageBreakBefore w:val="0"/>
        <w:widowControl/>
        <w:kinsoku/>
        <w:wordWrap/>
        <w:overflowPunct w:val="0"/>
        <w:topLinePunct w:val="0"/>
        <w:autoSpaceDE w:val="0"/>
        <w:autoSpaceDN w:val="0"/>
        <w:bidi w:val="0"/>
        <w:adjustRightInd w:val="0"/>
        <w:snapToGrid/>
        <w:ind w:left="1134" w:hanging="1134"/>
        <w:textAlignment w:val="baseline"/>
        <w:outlineLvl w:val="9"/>
      </w:pPr>
      <w:r>
        <w:t>Sub-topic 1-3: Requirements set baseline</w:t>
      </w:r>
    </w:p>
    <w:p w14:paraId="6119BCAA">
      <w:pPr>
        <w:overflowPunct/>
        <w:autoSpaceDE/>
        <w:autoSpaceDN/>
        <w:adjustRightInd/>
        <w:spacing w:after="120"/>
        <w:textAlignment w:val="auto"/>
        <w:rPr>
          <w:lang w:eastAsia="zh-CN"/>
        </w:rPr>
      </w:pPr>
      <w:r>
        <w:rPr>
          <w:b/>
          <w:lang w:eastAsia="zh-CN"/>
        </w:rPr>
        <w:t>Way forward</w:t>
      </w:r>
      <w:r>
        <w:rPr>
          <w:lang w:eastAsia="zh-CN"/>
        </w:rPr>
        <w:t>:</w:t>
      </w:r>
      <w:r>
        <w:t xml:space="preserve"> Baseline set of requirements </w:t>
      </w:r>
      <w:r>
        <w:rPr>
          <w:lang w:eastAsia="zh-CN"/>
        </w:rPr>
        <w:t>for implementation of the BS-BS isolation conclusions:</w:t>
      </w:r>
    </w:p>
    <w:p w14:paraId="5612F60E">
      <w:pPr>
        <w:pStyle w:val="240"/>
        <w:widowControl w:val="0"/>
        <w:numPr>
          <w:ilvl w:val="0"/>
          <w:numId w:val="17"/>
        </w:numPr>
        <w:overflowPunct/>
        <w:autoSpaceDE/>
        <w:autoSpaceDN/>
        <w:adjustRightInd/>
        <w:spacing w:after="160" w:line="259" w:lineRule="auto"/>
        <w:jc w:val="both"/>
      </w:pPr>
      <w:r>
        <w:t>Transmitter OFF power requirement</w:t>
      </w:r>
    </w:p>
    <w:p w14:paraId="30766D40">
      <w:pPr>
        <w:pStyle w:val="240"/>
        <w:widowControl w:val="0"/>
        <w:numPr>
          <w:ilvl w:val="0"/>
          <w:numId w:val="17"/>
        </w:numPr>
        <w:overflowPunct/>
        <w:autoSpaceDE/>
        <w:autoSpaceDN/>
        <w:adjustRightInd/>
        <w:spacing w:after="160" w:line="259" w:lineRule="auto"/>
        <w:jc w:val="both"/>
      </w:pPr>
      <w:r>
        <w:t>Co-location spurious emission requirement/Protection of the BS receiver of own or different BS</w:t>
      </w:r>
    </w:p>
    <w:p w14:paraId="4A49F4E2">
      <w:pPr>
        <w:pStyle w:val="240"/>
        <w:widowControl w:val="0"/>
        <w:numPr>
          <w:ilvl w:val="0"/>
          <w:numId w:val="17"/>
        </w:numPr>
        <w:overflowPunct/>
        <w:autoSpaceDE/>
        <w:autoSpaceDN/>
        <w:adjustRightInd/>
        <w:spacing w:after="160" w:line="259" w:lineRule="auto"/>
        <w:jc w:val="both"/>
      </w:pPr>
      <w:r>
        <w:t>Tx IMD requirement</w:t>
      </w:r>
    </w:p>
    <w:p w14:paraId="17026B13">
      <w:pPr>
        <w:pStyle w:val="240"/>
        <w:widowControl w:val="0"/>
        <w:numPr>
          <w:ilvl w:val="0"/>
          <w:numId w:val="17"/>
        </w:numPr>
        <w:overflowPunct/>
        <w:autoSpaceDE/>
        <w:autoSpaceDN/>
        <w:adjustRightInd/>
        <w:spacing w:after="160" w:line="259" w:lineRule="auto"/>
        <w:jc w:val="both"/>
      </w:pPr>
      <w:r>
        <w:t>Co-located OOBB requirement</w:t>
      </w:r>
    </w:p>
    <w:p w14:paraId="00A4F667"/>
    <w:p w14:paraId="1C67EEAA">
      <w:pPr>
        <w:keepNext/>
        <w:keepLines/>
        <w:pageBreakBefore w:val="0"/>
        <w:widowControl/>
        <w:kinsoku/>
        <w:wordWrap/>
        <w:overflowPunct w:val="0"/>
        <w:topLinePunct w:val="0"/>
        <w:autoSpaceDE w:val="0"/>
        <w:autoSpaceDN w:val="0"/>
        <w:bidi w:val="0"/>
        <w:adjustRightInd w:val="0"/>
        <w:snapToGrid/>
        <w:ind w:left="1134" w:hanging="1134"/>
        <w:textAlignment w:val="baseline"/>
        <w:outlineLvl w:val="9"/>
        <w:rPr>
          <w:lang w:eastAsia="zh-CN"/>
        </w:rPr>
      </w:pPr>
      <w:r>
        <w:t>Sub-topic 1-4: TX IMD co-location</w:t>
      </w:r>
    </w:p>
    <w:p w14:paraId="5A3BB823">
      <w:pPr>
        <w:overflowPunct/>
        <w:autoSpaceDE/>
        <w:autoSpaceDN/>
        <w:adjustRightInd/>
        <w:spacing w:after="120"/>
        <w:textAlignment w:val="auto"/>
        <w:rPr>
          <w:lang w:eastAsia="zh-CN"/>
        </w:rPr>
      </w:pPr>
      <w:r>
        <w:rPr>
          <w:b/>
          <w:lang w:eastAsia="zh-CN"/>
        </w:rPr>
        <w:t>Way forward</w:t>
      </w:r>
      <w:r>
        <w:rPr>
          <w:lang w:eastAsia="zh-CN"/>
        </w:rPr>
        <w:t>:</w:t>
      </w:r>
    </w:p>
    <w:p w14:paraId="3EC07108">
      <w:pPr>
        <w:overflowPunct/>
        <w:autoSpaceDE/>
        <w:autoSpaceDN/>
        <w:adjustRightInd/>
        <w:spacing w:after="120"/>
        <w:textAlignment w:val="auto"/>
      </w:pPr>
      <w:r>
        <w:t>Companies are encouraged to provide inputs on the handling of the intra-system TX IMD requirements.</w:t>
      </w:r>
    </w:p>
    <w:p w14:paraId="081C08AF">
      <w:pPr>
        <w:overflowPunct/>
        <w:autoSpaceDE/>
        <w:autoSpaceDN/>
        <w:adjustRightInd/>
        <w:spacing w:after="120"/>
        <w:textAlignment w:val="auto"/>
      </w:pPr>
    </w:p>
    <w:p w14:paraId="1091547C">
      <w:pPr>
        <w:keepNext/>
        <w:keepLines/>
        <w:pageBreakBefore w:val="0"/>
        <w:widowControl/>
        <w:kinsoku/>
        <w:wordWrap/>
        <w:overflowPunct w:val="0"/>
        <w:topLinePunct w:val="0"/>
        <w:autoSpaceDE w:val="0"/>
        <w:autoSpaceDN w:val="0"/>
        <w:bidi w:val="0"/>
        <w:adjustRightInd w:val="0"/>
        <w:snapToGrid/>
        <w:ind w:left="1134" w:hanging="1134"/>
        <w:textAlignment w:val="baseline"/>
        <w:outlineLvl w:val="9"/>
      </w:pPr>
      <w:r>
        <w:t>Sub-topic 1-5: Capturing CLTA-related agreements</w:t>
      </w:r>
    </w:p>
    <w:p w14:paraId="78D6A634">
      <w:pPr>
        <w:overflowPunct/>
        <w:autoSpaceDE/>
        <w:autoSpaceDN/>
        <w:adjustRightInd/>
        <w:spacing w:after="120"/>
        <w:textAlignment w:val="auto"/>
        <w:rPr>
          <w:lang w:eastAsia="zh-CN"/>
        </w:rPr>
      </w:pPr>
      <w:r>
        <w:rPr>
          <w:b/>
          <w:lang w:eastAsia="zh-CN"/>
        </w:rPr>
        <w:t>Way forward</w:t>
      </w:r>
      <w:r>
        <w:rPr>
          <w:lang w:eastAsia="zh-CN"/>
        </w:rPr>
        <w:t>:</w:t>
      </w:r>
    </w:p>
    <w:p w14:paraId="5AFBFFCD">
      <w:pPr>
        <w:overflowPunct/>
        <w:autoSpaceDE/>
        <w:autoSpaceDN/>
        <w:adjustRightInd/>
        <w:spacing w:after="120"/>
        <w:textAlignment w:val="auto"/>
      </w:pPr>
      <w:r>
        <w:t>As there is a dedicated CLTA section in TR 37.941 on RF conformance testing background for OTA BS requirements, consider TR 37.941 as the placeholder for the CLTA-related agreements collection. Rel-19 findings to be ca in a brand new sub-clause.</w:t>
      </w:r>
    </w:p>
    <w:p w14:paraId="354AE2C5">
      <w:pPr>
        <w:overflowPunct/>
        <w:autoSpaceDE/>
        <w:autoSpaceDN/>
        <w:adjustRightInd/>
        <w:spacing w:after="120"/>
        <w:textAlignment w:val="auto"/>
      </w:pPr>
    </w:p>
    <w:p w14:paraId="1EA44B81">
      <w:pPr>
        <w:keepNext/>
        <w:keepLines/>
        <w:pageBreakBefore w:val="0"/>
        <w:widowControl/>
        <w:kinsoku/>
        <w:wordWrap/>
        <w:overflowPunct w:val="0"/>
        <w:topLinePunct w:val="0"/>
        <w:autoSpaceDE w:val="0"/>
        <w:autoSpaceDN w:val="0"/>
        <w:bidi w:val="0"/>
        <w:adjustRightInd w:val="0"/>
        <w:snapToGrid/>
        <w:ind w:left="1134" w:hanging="1134"/>
        <w:textAlignment w:val="baseline"/>
        <w:outlineLvl w:val="9"/>
      </w:pPr>
      <w:r>
        <w:t>Sub-topic 1-6: Horn antenna aspects</w:t>
      </w:r>
    </w:p>
    <w:p w14:paraId="00AF6FFD">
      <w:pPr>
        <w:overflowPunct/>
        <w:autoSpaceDE/>
        <w:autoSpaceDN/>
        <w:adjustRightInd/>
        <w:spacing w:after="120"/>
        <w:textAlignment w:val="auto"/>
      </w:pPr>
      <w:r>
        <w:rPr>
          <w:b/>
          <w:lang w:eastAsia="zh-CN"/>
        </w:rPr>
        <w:t>Way forward</w:t>
      </w:r>
      <w:r>
        <w:rPr>
          <w:lang w:eastAsia="zh-CN"/>
        </w:rPr>
        <w:t xml:space="preserve">: </w:t>
      </w:r>
      <w:r>
        <w:t>Companies to investigate applicable frequency range for horn antenna studies (i.e., where the reference CLTA may not be available).</w:t>
      </w:r>
    </w:p>
    <w:p w14:paraId="4C98D806">
      <w:pPr>
        <w:overflowPunct/>
        <w:autoSpaceDE/>
        <w:autoSpaceDN/>
        <w:adjustRightInd/>
        <w:spacing w:after="120"/>
        <w:textAlignment w:val="auto"/>
      </w:pPr>
    </w:p>
    <w:p w14:paraId="3E9D7802">
      <w:pPr>
        <w:keepNext/>
        <w:keepLines/>
        <w:pageBreakBefore w:val="0"/>
        <w:widowControl/>
        <w:kinsoku/>
        <w:wordWrap/>
        <w:overflowPunct w:val="0"/>
        <w:topLinePunct w:val="0"/>
        <w:autoSpaceDE w:val="0"/>
        <w:autoSpaceDN w:val="0"/>
        <w:bidi w:val="0"/>
        <w:adjustRightInd w:val="0"/>
        <w:snapToGrid/>
        <w:ind w:left="1134" w:hanging="1134"/>
        <w:textAlignment w:val="baseline"/>
        <w:outlineLvl w:val="9"/>
      </w:pPr>
      <w:r>
        <w:t>Sub-topic 1-7: Assumptions for the beam steering scenario analyses</w:t>
      </w:r>
    </w:p>
    <w:p w14:paraId="2C08F264">
      <w:pPr>
        <w:overflowPunct/>
        <w:autoSpaceDE/>
        <w:autoSpaceDN/>
        <w:adjustRightInd/>
        <w:spacing w:after="120"/>
        <w:textAlignment w:val="auto"/>
      </w:pPr>
      <w:r>
        <w:rPr>
          <w:b/>
          <w:lang w:eastAsia="zh-CN"/>
        </w:rPr>
        <w:t>Way forward</w:t>
      </w:r>
      <w:r>
        <w:rPr>
          <w:lang w:eastAsia="zh-CN"/>
        </w:rPr>
        <w:t>:</w:t>
      </w:r>
      <w:r>
        <w:t xml:space="preserve"> To improve simulation results alignment, the following assumptions are taken for the beam steering consideration: </w:t>
      </w:r>
    </w:p>
    <w:p w14:paraId="1B2E67E1">
      <w:pPr>
        <w:spacing w:after="120"/>
        <w:rPr>
          <w:color w:val="000000" w:themeColor="text1"/>
          <w:szCs w:val="24"/>
          <w:lang w:eastAsia="zh-CN"/>
          <w14:textFill>
            <w14:solidFill>
              <w14:schemeClr w14:val="tx1"/>
            </w14:solidFill>
          </w14:textFill>
        </w:rPr>
      </w:pPr>
      <w:r>
        <w:t>D</w:t>
      </w:r>
      <w:r>
        <w:rPr>
          <w:color w:val="000000" w:themeColor="text1"/>
          <w:szCs w:val="24"/>
          <w:lang w:eastAsia="zh-CN"/>
          <w14:textFill>
            <w14:solidFill>
              <w14:schemeClr w14:val="tx1"/>
            </w14:solidFill>
          </w14:textFill>
        </w:rPr>
        <w:t xml:space="preserve">ata collection to prioritize the following scenarios: </w:t>
      </w:r>
    </w:p>
    <w:p w14:paraId="6F8BEA63">
      <w:pPr>
        <w:pStyle w:val="134"/>
        <w:numPr>
          <w:ilvl w:val="0"/>
          <w:numId w:val="14"/>
        </w:numPr>
        <w:spacing w:after="120"/>
        <w:ind w:firstLineChars="0"/>
      </w:pPr>
      <w:r>
        <w:t>Beam steering range +/- [60] degrees</w:t>
      </w:r>
    </w:p>
    <w:p w14:paraId="1D0F08A4">
      <w:pPr>
        <w:pStyle w:val="134"/>
        <w:numPr>
          <w:ilvl w:val="0"/>
          <w:numId w:val="14"/>
        </w:numPr>
        <w:spacing w:after="120"/>
        <w:ind w:firstLineChars="0"/>
      </w:pPr>
      <w:r>
        <w:t>Reuse CLTA arrangements, e.g., same plane orientation; 10 cm offset enclosure to enclosure, etc.</w:t>
      </w:r>
    </w:p>
    <w:p w14:paraId="413945ED">
      <w:pPr>
        <w:rPr>
          <w:rFonts w:eastAsiaTheme="minorEastAsia"/>
          <w:lang w:eastAsia="zh-CN"/>
        </w:rPr>
      </w:pPr>
    </w:p>
    <w:p w14:paraId="3AFF680F">
      <w:pPr>
        <w:rPr>
          <w:b/>
          <w:bCs/>
          <w:iCs/>
        </w:rPr>
      </w:pPr>
      <w:r>
        <w:rPr>
          <w:b/>
          <w:bCs/>
          <w:iCs/>
        </w:rPr>
        <w:t>For U6GHz BS EEIRP mask</w:t>
      </w:r>
      <w:r>
        <w:rPr>
          <w:rFonts w:hint="eastAsia" w:eastAsia="宋体"/>
          <w:b/>
          <w:bCs/>
          <w:iCs/>
          <w:lang w:val="en-US" w:eastAsia="zh-CN"/>
        </w:rPr>
        <w:t xml:space="preserve"> (the work has been basically completed)</w:t>
      </w:r>
      <w:r>
        <w:rPr>
          <w:b/>
          <w:bCs/>
          <w:iCs/>
        </w:rPr>
        <w:t>:</w:t>
      </w:r>
    </w:p>
    <w:p w14:paraId="1ABCCE0E">
      <w:pPr>
        <w:rPr>
          <w:rFonts w:hint="default" w:eastAsia="宋体"/>
          <w:b/>
          <w:bCs/>
          <w:iCs/>
          <w:lang w:val="en-US" w:eastAsia="zh-CN"/>
        </w:rPr>
      </w:pPr>
      <w:r>
        <w:rPr>
          <w:rFonts w:hint="eastAsia" w:eastAsia="宋体"/>
          <w:b/>
          <w:bCs/>
          <w:iCs/>
          <w:lang w:val="en-US" w:eastAsia="zh-CN"/>
        </w:rPr>
        <w:t>C</w:t>
      </w:r>
      <w:r>
        <w:rPr>
          <w:b/>
          <w:bCs/>
          <w:iCs/>
        </w:rPr>
        <w:t>onformance testin</w:t>
      </w:r>
      <w:r>
        <w:rPr>
          <w:rFonts w:hint="eastAsia" w:eastAsia="宋体"/>
          <w:b/>
          <w:bCs/>
          <w:iCs/>
          <w:lang w:val="en-US" w:eastAsia="zh-CN"/>
        </w:rPr>
        <w:t>g:</w:t>
      </w:r>
    </w:p>
    <w:p w14:paraId="093C1EA6">
      <w:pPr>
        <w:rPr>
          <w:color w:val="auto"/>
          <w:lang w:val="en-US" w:eastAsia="zh-CN"/>
        </w:rPr>
      </w:pPr>
      <w:r>
        <w:rPr>
          <w:rFonts w:hint="eastAsia"/>
          <w:b/>
          <w:bCs/>
          <w:iCs/>
          <w:color w:val="auto"/>
          <w:lang w:val="en-US" w:eastAsia="zh-CN"/>
        </w:rPr>
        <w:t>Issue 2-2: CAR and mechanical tilt related issue</w:t>
      </w:r>
    </w:p>
    <w:p w14:paraId="77BC75B0">
      <w:pPr>
        <w:pStyle w:val="134"/>
        <w:numPr>
          <w:ilvl w:val="0"/>
          <w:numId w:val="17"/>
        </w:numPr>
        <w:overflowPunct/>
        <w:autoSpaceDE/>
        <w:autoSpaceDN/>
        <w:adjustRightInd/>
        <w:spacing w:after="120"/>
        <w:ind w:left="720" w:firstLineChars="0"/>
        <w:textAlignment w:val="auto"/>
        <w:rPr>
          <w:rFonts w:eastAsia="宋体"/>
          <w:color w:val="auto"/>
          <w:highlight w:val="none"/>
          <w:lang w:val="en-US" w:eastAsia="zh-CN"/>
        </w:rPr>
      </w:pPr>
      <w:r>
        <w:rPr>
          <w:rFonts w:hint="eastAsia" w:eastAsia="宋体"/>
          <w:color w:val="auto"/>
          <w:szCs w:val="24"/>
          <w:highlight w:val="none"/>
          <w:lang w:val="en-US" w:eastAsia="zh-CN"/>
        </w:rPr>
        <w:t xml:space="preserve">Agreement: </w:t>
      </w:r>
    </w:p>
    <w:p w14:paraId="56D08758">
      <w:pPr>
        <w:pStyle w:val="134"/>
        <w:numPr>
          <w:ilvl w:val="1"/>
          <w:numId w:val="17"/>
        </w:numPr>
        <w:overflowPunct/>
        <w:autoSpaceDE/>
        <w:autoSpaceDN/>
        <w:adjustRightInd/>
        <w:spacing w:after="120"/>
        <w:ind w:left="1440" w:firstLineChars="0"/>
        <w:textAlignment w:val="auto"/>
        <w:rPr>
          <w:iCs/>
          <w:color w:val="auto"/>
          <w:highlight w:val="none"/>
          <w:lang w:val="en-US" w:eastAsia="zh-CN"/>
        </w:rPr>
      </w:pPr>
      <w:r>
        <w:rPr>
          <w:rFonts w:hint="eastAsia"/>
          <w:iCs/>
          <w:color w:val="auto"/>
          <w:highlight w:val="none"/>
          <w:lang w:val="en-US" w:eastAsia="zh-CN"/>
        </w:rPr>
        <w:t>Agree to use the test beam as proposed in D.3a for the conformance testing</w:t>
      </w:r>
    </w:p>
    <w:p w14:paraId="1A2B8892">
      <w:pPr>
        <w:rPr>
          <w:color w:val="auto"/>
          <w:u w:val="single"/>
        </w:rPr>
      </w:pPr>
      <w:r>
        <w:rPr>
          <w:rFonts w:hint="eastAsia"/>
          <w:b/>
          <w:bCs/>
          <w:iCs/>
          <w:color w:val="auto"/>
          <w:lang w:val="en-US" w:eastAsia="zh-CN"/>
        </w:rPr>
        <w:t>Issue 2-4: Test beams for EEIRP mask</w:t>
      </w:r>
    </w:p>
    <w:p w14:paraId="6A531028">
      <w:pPr>
        <w:pStyle w:val="134"/>
        <w:numPr>
          <w:ilvl w:val="0"/>
          <w:numId w:val="17"/>
        </w:numPr>
        <w:overflowPunct/>
        <w:autoSpaceDE/>
        <w:autoSpaceDN/>
        <w:adjustRightInd/>
        <w:spacing w:after="120"/>
        <w:ind w:left="720" w:firstLineChars="0"/>
        <w:textAlignment w:val="auto"/>
        <w:rPr>
          <w:rFonts w:eastAsia="宋体"/>
          <w:color w:val="auto"/>
          <w:highlight w:val="none"/>
          <w:lang w:val="en-US" w:eastAsia="zh-CN"/>
        </w:rPr>
      </w:pPr>
      <w:r>
        <w:rPr>
          <w:rFonts w:hint="eastAsia" w:eastAsia="宋体"/>
          <w:color w:val="auto"/>
          <w:szCs w:val="24"/>
          <w:highlight w:val="none"/>
          <w:lang w:val="en-US" w:eastAsia="zh-CN"/>
        </w:rPr>
        <w:t xml:space="preserve">Agreement: </w:t>
      </w:r>
    </w:p>
    <w:p w14:paraId="053801F4">
      <w:pPr>
        <w:pStyle w:val="134"/>
        <w:numPr>
          <w:ilvl w:val="1"/>
          <w:numId w:val="17"/>
        </w:numPr>
        <w:overflowPunct/>
        <w:autoSpaceDE/>
        <w:autoSpaceDN/>
        <w:adjustRightInd/>
        <w:spacing w:after="120"/>
        <w:ind w:left="1440" w:firstLineChars="0"/>
        <w:textAlignment w:val="auto"/>
        <w:rPr>
          <w:iCs/>
          <w:color w:val="auto"/>
          <w:highlight w:val="none"/>
          <w:lang w:val="en-US" w:eastAsia="zh-CN"/>
        </w:rPr>
      </w:pPr>
      <w:r>
        <w:rPr>
          <w:rFonts w:hint="eastAsia"/>
          <w:iCs/>
          <w:color w:val="auto"/>
          <w:highlight w:val="none"/>
          <w:lang w:val="en-US" w:eastAsia="zh-CN"/>
        </w:rPr>
        <w:t xml:space="preserve">Agree the following testing beam direction pattern 5x5 without 4 corner beams for the EEIRP conformance testing </w:t>
      </w:r>
    </w:p>
    <w:p w14:paraId="672A0B2E">
      <w:pPr>
        <w:pStyle w:val="134"/>
        <w:numPr>
          <w:ilvl w:val="0"/>
          <w:numId w:val="0"/>
        </w:numPr>
        <w:overflowPunct/>
        <w:autoSpaceDE/>
        <w:autoSpaceDN/>
        <w:adjustRightInd/>
        <w:spacing w:after="120"/>
        <w:ind w:left="1080" w:leftChars="0"/>
        <w:textAlignment w:val="auto"/>
        <w:rPr>
          <w:iCs/>
          <w:color w:val="auto"/>
          <w:highlight w:val="none"/>
          <w:lang w:val="en-US" w:eastAsia="zh-CN"/>
        </w:rPr>
      </w:pPr>
      <w:r>
        <w:rPr>
          <w:color w:val="auto"/>
        </w:rPr>
        <w:drawing>
          <wp:inline distT="0" distB="0" distL="114300" distR="114300">
            <wp:extent cx="4924425" cy="4667250"/>
            <wp:effectExtent l="0" t="0" r="9525"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7"/>
                    <a:stretch>
                      <a:fillRect/>
                    </a:stretch>
                  </pic:blipFill>
                  <pic:spPr>
                    <a:xfrm>
                      <a:off x="0" y="0"/>
                      <a:ext cx="4924425" cy="4667250"/>
                    </a:xfrm>
                    <a:prstGeom prst="rect">
                      <a:avLst/>
                    </a:prstGeom>
                    <a:noFill/>
                    <a:ln>
                      <a:noFill/>
                    </a:ln>
                  </pic:spPr>
                </pic:pic>
              </a:graphicData>
            </a:graphic>
          </wp:inline>
        </w:drawing>
      </w:r>
    </w:p>
    <w:p w14:paraId="4D67E600">
      <w:pPr>
        <w:rPr>
          <w:color w:val="auto"/>
          <w:u w:val="single"/>
        </w:rPr>
      </w:pPr>
    </w:p>
    <w:p w14:paraId="4827F6AD">
      <w:pPr>
        <w:rPr>
          <w:color w:val="auto"/>
          <w:lang w:val="en-US" w:eastAsia="zh-CN"/>
        </w:rPr>
      </w:pPr>
      <w:r>
        <w:rPr>
          <w:rFonts w:hint="eastAsia"/>
          <w:b/>
          <w:bCs/>
          <w:iCs/>
          <w:color w:val="auto"/>
          <w:lang w:val="en-US" w:eastAsia="zh-CN"/>
        </w:rPr>
        <w:t>Issue 2-5: Conformance testing for different mechanical tilts</w:t>
      </w:r>
    </w:p>
    <w:p w14:paraId="2498D21A">
      <w:pPr>
        <w:pStyle w:val="134"/>
        <w:numPr>
          <w:ilvl w:val="0"/>
          <w:numId w:val="17"/>
        </w:numPr>
        <w:overflowPunct/>
        <w:autoSpaceDE/>
        <w:autoSpaceDN/>
        <w:adjustRightInd/>
        <w:spacing w:after="120"/>
        <w:ind w:left="720" w:firstLineChars="0"/>
        <w:textAlignment w:val="auto"/>
        <w:rPr>
          <w:rFonts w:eastAsia="宋体"/>
          <w:color w:val="auto"/>
          <w:highlight w:val="none"/>
          <w:lang w:val="en-US" w:eastAsia="zh-CN"/>
        </w:rPr>
      </w:pPr>
      <w:r>
        <w:rPr>
          <w:rFonts w:hint="eastAsia" w:eastAsia="宋体"/>
          <w:color w:val="auto"/>
          <w:szCs w:val="24"/>
          <w:highlight w:val="none"/>
          <w:lang w:val="en-US" w:eastAsia="zh-CN"/>
        </w:rPr>
        <w:t xml:space="preserve">Agreement: </w:t>
      </w:r>
    </w:p>
    <w:p w14:paraId="6B7556A7">
      <w:pPr>
        <w:pStyle w:val="134"/>
        <w:numPr>
          <w:ilvl w:val="1"/>
          <w:numId w:val="17"/>
        </w:numPr>
        <w:overflowPunct/>
        <w:autoSpaceDE/>
        <w:autoSpaceDN/>
        <w:adjustRightInd/>
        <w:spacing w:after="120"/>
        <w:ind w:left="1440" w:firstLineChars="0"/>
        <w:textAlignment w:val="auto"/>
        <w:rPr>
          <w:rFonts w:eastAsia="宋体"/>
          <w:color w:val="auto"/>
          <w:lang w:val="en-US" w:eastAsia="zh-CN"/>
        </w:rPr>
      </w:pPr>
      <w:r>
        <w:rPr>
          <w:rFonts w:hint="eastAsia" w:eastAsia="宋体"/>
          <w:color w:val="auto"/>
          <w:lang w:val="en-US" w:eastAsia="zh-CN"/>
        </w:rPr>
        <w:t xml:space="preserve">The minimum mechanical down tilt and the maximum electrical steering range shall be declared. </w:t>
      </w:r>
    </w:p>
    <w:p w14:paraId="331D089C">
      <w:pPr>
        <w:pStyle w:val="134"/>
        <w:numPr>
          <w:ilvl w:val="1"/>
          <w:numId w:val="17"/>
        </w:numPr>
        <w:overflowPunct/>
        <w:autoSpaceDE/>
        <w:autoSpaceDN/>
        <w:adjustRightInd/>
        <w:spacing w:after="120"/>
        <w:ind w:left="1440" w:firstLineChars="0"/>
        <w:textAlignment w:val="auto"/>
        <w:rPr>
          <w:rFonts w:eastAsia="宋体"/>
          <w:color w:val="auto"/>
          <w:lang w:val="en-US" w:eastAsia="zh-CN"/>
        </w:rPr>
      </w:pPr>
      <w:r>
        <w:rPr>
          <w:rFonts w:hint="eastAsia" w:eastAsia="宋体"/>
          <w:color w:val="auto"/>
          <w:lang w:val="en-US" w:eastAsia="zh-CN"/>
        </w:rPr>
        <w:t xml:space="preserve"> If the maximum steering range and the minimum mechanical down tilt are not simultaneously supported, the manufacturer shall declare and test the following two instances: </w:t>
      </w:r>
    </w:p>
    <w:p w14:paraId="21F0E83B">
      <w:pPr>
        <w:numPr>
          <w:ilvl w:val="4"/>
          <w:numId w:val="18"/>
        </w:numPr>
        <w:tabs>
          <w:tab w:val="left" w:pos="872"/>
          <w:tab w:val="clear" w:pos="3600"/>
        </w:tabs>
        <w:ind w:left="2132"/>
        <w:rPr>
          <w:color w:val="auto"/>
        </w:rPr>
      </w:pPr>
      <w:r>
        <w:rPr>
          <w:rFonts w:hint="eastAsia"/>
          <w:color w:val="auto"/>
          <w:lang w:val="en-US"/>
        </w:rPr>
        <w:t xml:space="preserve">Minimum mechanical down tilt and the reduced </w:t>
      </w:r>
      <w:r>
        <w:rPr>
          <w:color w:val="auto"/>
          <w:lang w:val="en-US"/>
        </w:rPr>
        <w:t xml:space="preserve">electrical </w:t>
      </w:r>
      <w:r>
        <w:rPr>
          <w:rFonts w:hint="eastAsia"/>
          <w:color w:val="auto"/>
          <w:lang w:val="en-US"/>
        </w:rPr>
        <w:t xml:space="preserve">steering range </w:t>
      </w:r>
    </w:p>
    <w:p w14:paraId="79D16D73">
      <w:pPr>
        <w:numPr>
          <w:ilvl w:val="4"/>
          <w:numId w:val="18"/>
        </w:numPr>
        <w:tabs>
          <w:tab w:val="left" w:pos="872"/>
          <w:tab w:val="clear" w:pos="3600"/>
        </w:tabs>
        <w:ind w:left="2132"/>
        <w:rPr>
          <w:color w:val="auto"/>
          <w:lang w:val="sv-SE" w:eastAsia="zh-CN"/>
        </w:rPr>
      </w:pPr>
      <w:r>
        <w:rPr>
          <w:rFonts w:hint="eastAsia"/>
          <w:color w:val="auto"/>
          <w:lang w:val="en-US"/>
        </w:rPr>
        <w:t xml:space="preserve">Maximum </w:t>
      </w:r>
      <w:r>
        <w:rPr>
          <w:color w:val="auto"/>
          <w:lang w:val="en-US"/>
        </w:rPr>
        <w:t xml:space="preserve">electrical </w:t>
      </w:r>
      <w:r>
        <w:rPr>
          <w:rFonts w:hint="eastAsia"/>
          <w:color w:val="auto"/>
          <w:lang w:val="en-US"/>
        </w:rPr>
        <w:t>steering range and increased mechanical down tilt</w:t>
      </w:r>
    </w:p>
    <w:p w14:paraId="77BF3079">
      <w:pPr>
        <w:pStyle w:val="134"/>
        <w:numPr>
          <w:ilvl w:val="1"/>
          <w:numId w:val="17"/>
        </w:numPr>
        <w:overflowPunct/>
        <w:autoSpaceDE/>
        <w:autoSpaceDN/>
        <w:adjustRightInd/>
        <w:spacing w:after="120"/>
        <w:ind w:left="1440" w:firstLineChars="0"/>
        <w:textAlignment w:val="auto"/>
        <w:rPr>
          <w:rFonts w:hint="eastAsia" w:eastAsia="宋体"/>
          <w:color w:val="auto"/>
          <w:lang w:val="en-US" w:eastAsia="zh-CN"/>
        </w:rPr>
      </w:pPr>
      <w:r>
        <w:rPr>
          <w:rFonts w:hint="eastAsia" w:eastAsia="宋体"/>
          <w:color w:val="auto"/>
          <w:lang w:val="en-US" w:eastAsia="zh-CN"/>
        </w:rPr>
        <w:t>To capture in the note of the declaration table</w:t>
      </w:r>
    </w:p>
    <w:p w14:paraId="32ACC65F">
      <w:pPr>
        <w:rPr>
          <w:rFonts w:hint="default"/>
          <w:color w:val="auto"/>
          <w:u w:val="single"/>
          <w:lang w:val="en-US" w:eastAsia="zh-CN"/>
        </w:rPr>
      </w:pPr>
    </w:p>
    <w:p w14:paraId="7065917D">
      <w:pPr>
        <w:rPr>
          <w:color w:val="auto"/>
          <w:lang w:val="sv-SE" w:eastAsia="zh-CN"/>
        </w:rPr>
      </w:pPr>
      <w:r>
        <w:rPr>
          <w:rFonts w:hint="eastAsia"/>
          <w:b/>
          <w:bCs/>
          <w:iCs/>
          <w:color w:val="auto"/>
          <w:lang w:val="en-US" w:eastAsia="zh-CN"/>
        </w:rPr>
        <w:t>Issue 2-6: Measurement uncertainty</w:t>
      </w:r>
    </w:p>
    <w:p w14:paraId="2C869016">
      <w:pPr>
        <w:pStyle w:val="134"/>
        <w:numPr>
          <w:ilvl w:val="0"/>
          <w:numId w:val="17"/>
        </w:numPr>
        <w:overflowPunct/>
        <w:autoSpaceDE/>
        <w:autoSpaceDN/>
        <w:adjustRightInd/>
        <w:spacing w:after="120"/>
        <w:ind w:left="720" w:firstLineChars="0"/>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szCs w:val="24"/>
          <w:highlight w:val="none"/>
          <w:lang w:val="en-US" w:eastAsia="zh-CN"/>
        </w:rPr>
        <w:t xml:space="preserve">Agreement: </w:t>
      </w:r>
    </w:p>
    <w:p w14:paraId="16D0F2CC">
      <w:pPr>
        <w:pStyle w:val="134"/>
        <w:numPr>
          <w:ilvl w:val="1"/>
          <w:numId w:val="17"/>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Agree to capture the Plane Wave Synthesizer (PWS) for EEIRP conformance testing</w:t>
      </w:r>
    </w:p>
    <w:p w14:paraId="521594F4">
      <w:pPr>
        <w:pStyle w:val="134"/>
        <w:numPr>
          <w:ilvl w:val="1"/>
          <w:numId w:val="17"/>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 xml:space="preserve">For dynamic range error, propose to use </w:t>
      </w:r>
      <w:r>
        <w:rPr>
          <w:rFonts w:hint="default" w:ascii="Times New Roman" w:hAnsi="Times New Roman" w:cs="Times New Roman"/>
          <w:iCs/>
          <w:color w:val="auto"/>
          <w:highlight w:val="none"/>
          <w:lang w:val="en-US" w:eastAsia="en-GB"/>
        </w:rPr>
        <w:t xml:space="preserve">Standard uncertainty </w:t>
      </w:r>
      <w:r>
        <w:rPr>
          <w:rFonts w:hint="default" w:ascii="Times New Roman" w:hAnsi="Times New Roman" w:cs="Times New Roman"/>
          <w:iCs/>
          <w:color w:val="auto"/>
          <w:highlight w:val="none"/>
          <w:lang w:val="en-US" w:eastAsia="zh-CN"/>
        </w:rPr>
        <w:t>0.3dB  as staring point.</w:t>
      </w:r>
    </w:p>
    <w:p w14:paraId="184A3BC4">
      <w:pPr>
        <w:pStyle w:val="134"/>
        <w:numPr>
          <w:ilvl w:val="1"/>
          <w:numId w:val="17"/>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For EEIRP sampling error, agree to use the following summarized error information to do the statistical analysis for the distribution and std based on the agreed test beam;</w:t>
      </w:r>
    </w:p>
    <w:tbl>
      <w:tblPr>
        <w:tblStyle w:val="53"/>
        <w:tblW w:w="4991" w:type="pct"/>
        <w:tblInd w:w="0" w:type="dxa"/>
        <w:tblLayout w:type="fixed"/>
        <w:tblCellMar>
          <w:top w:w="0" w:type="dxa"/>
          <w:left w:w="108" w:type="dxa"/>
          <w:bottom w:w="0" w:type="dxa"/>
          <w:right w:w="108" w:type="dxa"/>
        </w:tblCellMar>
      </w:tblPr>
      <w:tblGrid>
        <w:gridCol w:w="1371"/>
        <w:gridCol w:w="1653"/>
        <w:gridCol w:w="2040"/>
        <w:gridCol w:w="816"/>
        <w:gridCol w:w="693"/>
        <w:gridCol w:w="745"/>
        <w:gridCol w:w="743"/>
        <w:gridCol w:w="695"/>
        <w:gridCol w:w="745"/>
        <w:gridCol w:w="899"/>
      </w:tblGrid>
      <w:tr w14:paraId="626C7213">
        <w:tblPrEx>
          <w:tblCellMar>
            <w:top w:w="0" w:type="dxa"/>
            <w:left w:w="108" w:type="dxa"/>
            <w:bottom w:w="0" w:type="dxa"/>
            <w:right w:w="108" w:type="dxa"/>
          </w:tblCellMar>
        </w:tblPrEx>
        <w:trPr>
          <w:trHeight w:val="270" w:hRule="atLeast"/>
        </w:trPr>
        <w:tc>
          <w:tcPr>
            <w:tcW w:w="658" w:type="pct"/>
            <w:vMerge w:val="restart"/>
            <w:tcBorders>
              <w:top w:val="single" w:color="000000" w:sz="4" w:space="0"/>
              <w:left w:val="single" w:color="000000" w:sz="4" w:space="0"/>
              <w:right w:val="single" w:color="000000" w:sz="4" w:space="0"/>
            </w:tcBorders>
            <w:shd w:val="clear" w:color="auto" w:fill="auto"/>
            <w:noWrap/>
            <w:vAlign w:val="center"/>
          </w:tcPr>
          <w:p w14:paraId="7D01DCF5">
            <w:pPr>
              <w:textAlignment w:val="center"/>
              <w:rPr>
                <w:rFonts w:hint="default" w:ascii="Times New Roman" w:hAnsi="Times New Roman" w:eastAsia="宋体" w:cs="Times New Roman"/>
                <w:color w:val="auto"/>
                <w:sz w:val="21"/>
                <w:szCs w:val="21"/>
                <w:lang w:val="en-US" w:eastAsia="zh-CN" w:bidi="ar"/>
              </w:rPr>
            </w:pPr>
            <w:r>
              <w:rPr>
                <w:rFonts w:hint="eastAsia" w:ascii="Times New Roman" w:hAnsi="Times New Roman" w:cs="Times New Roman"/>
                <w:color w:val="auto"/>
                <w:sz w:val="21"/>
                <w:szCs w:val="21"/>
                <w:lang w:val="en-US" w:eastAsia="zh-CN" w:bidi="ar"/>
              </w:rPr>
              <w:t>Company A</w:t>
            </w:r>
          </w:p>
        </w:tc>
        <w:tc>
          <w:tcPr>
            <w:tcW w:w="794" w:type="pct"/>
            <w:tcBorders>
              <w:top w:val="single" w:color="000000" w:sz="4" w:space="0"/>
              <w:left w:val="single" w:color="000000" w:sz="4" w:space="0"/>
              <w:right w:val="single" w:color="000000" w:sz="4" w:space="0"/>
            </w:tcBorders>
            <w:shd w:val="clear" w:color="auto" w:fill="auto"/>
            <w:noWrap/>
            <w:vAlign w:val="center"/>
          </w:tcPr>
          <w:p w14:paraId="01F5C601">
            <w:pPr>
              <w:textAlignment w:val="center"/>
              <w:rPr>
                <w:rFonts w:hint="eastAsia" w:ascii="Times New Roman" w:hAnsi="Times New Roman" w:eastAsia="宋体" w:cs="Times New Roman"/>
                <w:color w:val="auto"/>
                <w:sz w:val="21"/>
                <w:szCs w:val="21"/>
                <w:lang w:val="en-US" w:eastAsia="zh-CN"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20CB5">
            <w:pPr>
              <w:textAlignment w:val="center"/>
              <w:rPr>
                <w:rFonts w:hint="default" w:ascii="Times New Roman" w:hAnsi="Times New Roman" w:eastAsia="宋体" w:cs="Times New Roman"/>
                <w:color w:val="auto"/>
                <w:sz w:val="21"/>
                <w:szCs w:val="21"/>
                <w:lang w:val="en-US" w:eastAsia="zh-CN" w:bidi="ar"/>
              </w:rPr>
            </w:pPr>
            <w:r>
              <w:rPr>
                <w:rFonts w:hint="eastAsia" w:ascii="Times New Roman" w:hAnsi="Times New Roman" w:eastAsia="宋体" w:cs="Times New Roman"/>
                <w:color w:val="auto"/>
                <w:sz w:val="21"/>
                <w:szCs w:val="21"/>
                <w:lang w:val="en-US" w:eastAsia="zh-CN" w:bidi="ar"/>
              </w:rPr>
              <w:t>Bin index</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A1587">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w:t>
            </w: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1F24D">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406C2">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3</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DA978">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1B93B">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5</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E6075">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6</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32B15">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7</w:t>
            </w:r>
          </w:p>
        </w:tc>
      </w:tr>
      <w:tr w14:paraId="56CADAD3">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44F8CCEB">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20724E64">
            <w:pPr>
              <w:textAlignment w:val="center"/>
              <w:rPr>
                <w:rFonts w:hint="default" w:ascii="Times New Roman" w:hAnsi="Times New Roman" w:eastAsia="宋体" w:cs="Times New Roman"/>
                <w:color w:val="auto"/>
                <w:sz w:val="21"/>
                <w:szCs w:val="21"/>
                <w:lang w:val="en-US"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1, beam steering rang 1</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2D622">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default" w:ascii="Times New Roman" w:hAnsi="Times New Roman" w:eastAsia="宋体" w:cs="Times New Roman"/>
                <w:color w:val="auto"/>
                <w:sz w:val="21"/>
                <w:szCs w:val="21"/>
                <w:lang w:bidi="ar"/>
              </w:rPr>
              <w:t>Rect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E4E33">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6D37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502E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E6E7B">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02CB9">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44CEA">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81A54">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48415C1C">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167305A0">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3A5FE11E">
            <w:pPr>
              <w:textAlignment w:val="center"/>
              <w:rPr>
                <w:rFonts w:hint="default" w:ascii="Times New Roman" w:hAnsi="Times New Roman" w:eastAsia="宋体" w:cs="Times New Roman"/>
                <w:color w:val="auto"/>
                <w:sz w:val="21"/>
                <w:szCs w:val="21"/>
                <w:lang w:val="en-US"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1, beam steering rang 2</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1979F">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default" w:ascii="Times New Roman" w:hAnsi="Times New Roman" w:eastAsia="宋体" w:cs="Times New Roman"/>
                <w:color w:val="auto"/>
                <w:sz w:val="21"/>
                <w:szCs w:val="21"/>
                <w:lang w:bidi="ar"/>
              </w:rPr>
              <w:t>Rect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6C7DC">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E781B">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7F4EA">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E90D8">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194E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CD4D1">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33FA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3C114828">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4E3EAFBC">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28179782">
            <w:pPr>
              <w:textAlignment w:val="center"/>
              <w:rPr>
                <w:rFonts w:hint="default" w:ascii="Times New Roman" w:hAnsi="Times New Roman" w:eastAsia="宋体" w:cs="Times New Roman"/>
                <w:color w:val="auto"/>
                <w:sz w:val="21"/>
                <w:szCs w:val="21"/>
                <w:lang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2, beam steering rang 1</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3ED59">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default" w:ascii="Times New Roman" w:hAnsi="Times New Roman" w:eastAsia="宋体" w:cs="Times New Roman"/>
                <w:color w:val="auto"/>
                <w:sz w:val="21"/>
                <w:szCs w:val="21"/>
                <w:lang w:bidi="ar"/>
              </w:rPr>
              <w:t>Rect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338A4">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0D3DA">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C02DE">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11CD8">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305C1">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E9E7A">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119C8">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50A1C78D">
        <w:tblPrEx>
          <w:tblCellMar>
            <w:top w:w="0" w:type="dxa"/>
            <w:left w:w="108" w:type="dxa"/>
            <w:bottom w:w="0" w:type="dxa"/>
            <w:right w:w="108" w:type="dxa"/>
          </w:tblCellMar>
        </w:tblPrEx>
        <w:trPr>
          <w:trHeight w:val="1231" w:hRule="atLeast"/>
        </w:trPr>
        <w:tc>
          <w:tcPr>
            <w:tcW w:w="658" w:type="pct"/>
            <w:vMerge w:val="continue"/>
            <w:tcBorders>
              <w:left w:val="single" w:color="000000" w:sz="4" w:space="0"/>
              <w:right w:val="single" w:color="000000" w:sz="4" w:space="0"/>
            </w:tcBorders>
            <w:shd w:val="clear" w:color="auto" w:fill="auto"/>
            <w:noWrap/>
            <w:vAlign w:val="center"/>
          </w:tcPr>
          <w:p w14:paraId="33BB99DB">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66E98FC6">
            <w:pPr>
              <w:textAlignment w:val="center"/>
              <w:rPr>
                <w:rFonts w:hint="default" w:ascii="Times New Roman" w:hAnsi="Times New Roman" w:eastAsia="宋体" w:cs="Times New Roman"/>
                <w:color w:val="auto"/>
                <w:sz w:val="21"/>
                <w:szCs w:val="21"/>
                <w:lang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2, beam steering rang 2</w:t>
            </w:r>
          </w:p>
        </w:tc>
        <w:tc>
          <w:tcPr>
            <w:tcW w:w="980" w:type="pct"/>
            <w:tcBorders>
              <w:top w:val="single" w:color="000000" w:sz="4" w:space="0"/>
              <w:left w:val="single" w:color="000000" w:sz="4" w:space="0"/>
              <w:right w:val="single" w:color="000000" w:sz="4" w:space="0"/>
            </w:tcBorders>
            <w:shd w:val="clear" w:color="auto" w:fill="auto"/>
            <w:noWrap/>
            <w:vAlign w:val="center"/>
          </w:tcPr>
          <w:p w14:paraId="2977EF90">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default" w:ascii="Times New Roman" w:hAnsi="Times New Roman" w:eastAsia="宋体" w:cs="Times New Roman"/>
                <w:color w:val="auto"/>
                <w:sz w:val="21"/>
                <w:szCs w:val="21"/>
                <w:lang w:bidi="ar"/>
              </w:rPr>
              <w:t>Rect Ref</w:t>
            </w:r>
          </w:p>
        </w:tc>
        <w:tc>
          <w:tcPr>
            <w:tcW w:w="392" w:type="pct"/>
            <w:tcBorders>
              <w:top w:val="single" w:color="000000" w:sz="4" w:space="0"/>
              <w:left w:val="single" w:color="000000" w:sz="4" w:space="0"/>
              <w:right w:val="single" w:color="000000" w:sz="4" w:space="0"/>
            </w:tcBorders>
            <w:shd w:val="clear" w:color="auto" w:fill="auto"/>
            <w:noWrap/>
            <w:vAlign w:val="center"/>
          </w:tcPr>
          <w:p w14:paraId="525A8454">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right w:val="single" w:color="000000" w:sz="4" w:space="0"/>
            </w:tcBorders>
            <w:shd w:val="clear" w:color="auto" w:fill="auto"/>
            <w:noWrap/>
            <w:vAlign w:val="center"/>
          </w:tcPr>
          <w:p w14:paraId="3EA2ED0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right w:val="single" w:color="000000" w:sz="4" w:space="0"/>
            </w:tcBorders>
            <w:shd w:val="clear" w:color="auto" w:fill="auto"/>
            <w:noWrap/>
            <w:vAlign w:val="center"/>
          </w:tcPr>
          <w:p w14:paraId="6A486B1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right w:val="single" w:color="000000" w:sz="4" w:space="0"/>
            </w:tcBorders>
            <w:shd w:val="clear" w:color="auto" w:fill="auto"/>
            <w:noWrap/>
            <w:vAlign w:val="center"/>
          </w:tcPr>
          <w:p w14:paraId="1A12FB3B">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right w:val="single" w:color="000000" w:sz="4" w:space="0"/>
            </w:tcBorders>
            <w:shd w:val="clear" w:color="auto" w:fill="auto"/>
            <w:noWrap/>
            <w:vAlign w:val="center"/>
          </w:tcPr>
          <w:p w14:paraId="5D43C0A2">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right w:val="single" w:color="000000" w:sz="4" w:space="0"/>
            </w:tcBorders>
            <w:shd w:val="clear" w:color="auto" w:fill="auto"/>
            <w:noWrap/>
            <w:vAlign w:val="center"/>
          </w:tcPr>
          <w:p w14:paraId="5EB0D2DE">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D29FB">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29622070">
        <w:tblPrEx>
          <w:tblCellMar>
            <w:top w:w="0" w:type="dxa"/>
            <w:left w:w="108" w:type="dxa"/>
            <w:bottom w:w="0" w:type="dxa"/>
            <w:right w:w="108" w:type="dxa"/>
          </w:tblCellMar>
        </w:tblPrEx>
        <w:trPr>
          <w:trHeight w:val="270" w:hRule="atLeast"/>
        </w:trPr>
        <w:tc>
          <w:tcPr>
            <w:tcW w:w="658" w:type="pct"/>
            <w:vMerge w:val="restart"/>
            <w:tcBorders>
              <w:top w:val="single" w:color="000000" w:sz="4" w:space="0"/>
              <w:left w:val="single" w:color="000000" w:sz="4" w:space="0"/>
              <w:right w:val="single" w:color="000000" w:sz="4" w:space="0"/>
            </w:tcBorders>
            <w:shd w:val="clear" w:color="auto" w:fill="auto"/>
            <w:noWrap/>
            <w:vAlign w:val="center"/>
          </w:tcPr>
          <w:p w14:paraId="5DA4389A">
            <w:pPr>
              <w:textAlignment w:val="center"/>
              <w:rPr>
                <w:rFonts w:hint="default" w:ascii="Times New Roman" w:hAnsi="Times New Roman" w:eastAsia="宋体" w:cs="Times New Roman"/>
                <w:color w:val="auto"/>
                <w:sz w:val="21"/>
                <w:szCs w:val="21"/>
                <w:lang w:val="en-US" w:eastAsia="zh-CN" w:bidi="ar"/>
              </w:rPr>
            </w:pPr>
            <w:r>
              <w:rPr>
                <w:rFonts w:hint="eastAsia" w:ascii="Times New Roman" w:hAnsi="Times New Roman" w:cs="Times New Roman"/>
                <w:color w:val="auto"/>
                <w:sz w:val="21"/>
                <w:szCs w:val="21"/>
                <w:lang w:val="en-US" w:eastAsia="zh-CN" w:bidi="ar"/>
              </w:rPr>
              <w:t xml:space="preserve">Company </w:t>
            </w:r>
            <w:r>
              <w:rPr>
                <w:rFonts w:hint="eastAsia" w:cs="Times New Roman"/>
                <w:color w:val="auto"/>
                <w:sz w:val="21"/>
                <w:szCs w:val="21"/>
                <w:lang w:val="en-US" w:eastAsia="zh-CN" w:bidi="ar"/>
              </w:rPr>
              <w:t>B</w:t>
            </w:r>
          </w:p>
        </w:tc>
        <w:tc>
          <w:tcPr>
            <w:tcW w:w="794" w:type="pct"/>
            <w:tcBorders>
              <w:top w:val="single" w:color="000000" w:sz="4" w:space="0"/>
              <w:left w:val="single" w:color="000000" w:sz="4" w:space="0"/>
              <w:right w:val="single" w:color="000000" w:sz="4" w:space="0"/>
            </w:tcBorders>
            <w:shd w:val="clear" w:color="auto" w:fill="auto"/>
            <w:noWrap/>
            <w:vAlign w:val="center"/>
          </w:tcPr>
          <w:p w14:paraId="7EFB8FDF">
            <w:pPr>
              <w:textAlignment w:val="center"/>
              <w:rPr>
                <w:rFonts w:hint="eastAsia" w:ascii="Times New Roman" w:hAnsi="Times New Roman" w:eastAsia="宋体" w:cs="Times New Roman"/>
                <w:color w:val="auto"/>
                <w:sz w:val="21"/>
                <w:szCs w:val="21"/>
                <w:lang w:val="en-US" w:eastAsia="zh-CN"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7C753">
            <w:pPr>
              <w:textAlignment w:val="center"/>
              <w:rPr>
                <w:rFonts w:hint="default" w:ascii="Times New Roman" w:hAnsi="Times New Roman" w:eastAsia="宋体" w:cs="Times New Roman"/>
                <w:color w:val="auto"/>
                <w:sz w:val="21"/>
                <w:szCs w:val="21"/>
                <w:lang w:val="en-US" w:eastAsia="zh-CN" w:bidi="ar"/>
              </w:rPr>
            </w:pPr>
            <w:r>
              <w:rPr>
                <w:rFonts w:hint="eastAsia" w:ascii="Times New Roman" w:hAnsi="Times New Roman" w:eastAsia="宋体" w:cs="Times New Roman"/>
                <w:color w:val="auto"/>
                <w:sz w:val="21"/>
                <w:szCs w:val="21"/>
                <w:lang w:val="en-US" w:eastAsia="zh-CN" w:bidi="ar"/>
              </w:rPr>
              <w:t>Bin index</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34230">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w:t>
            </w: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A5924">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7FFC3">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3</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6C079">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2E5D2">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5</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CF5F5">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6</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B1069">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7</w:t>
            </w:r>
          </w:p>
        </w:tc>
      </w:tr>
      <w:tr w14:paraId="17210268">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69C87844">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4816D887">
            <w:pPr>
              <w:textAlignment w:val="center"/>
              <w:rPr>
                <w:rFonts w:hint="default" w:ascii="Times New Roman" w:hAnsi="Times New Roman" w:eastAsia="宋体" w:cs="Times New Roman"/>
                <w:color w:val="auto"/>
                <w:sz w:val="21"/>
                <w:szCs w:val="21"/>
                <w:lang w:val="en-US"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1, beam steering rang 1</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D58DD">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default" w:ascii="Times New Roman" w:hAnsi="Times New Roman" w:eastAsia="宋体" w:cs="Times New Roman"/>
                <w:color w:val="auto"/>
                <w:sz w:val="21"/>
                <w:szCs w:val="21"/>
                <w:lang w:bidi="ar"/>
              </w:rPr>
              <w:t>Rect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65838">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C9C23">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9B6D3">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94C93">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01ECD">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9D92D">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78594">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59345C1D">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612A3A9D">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2E282704">
            <w:pPr>
              <w:textAlignment w:val="center"/>
              <w:rPr>
                <w:rFonts w:hint="default" w:ascii="Times New Roman" w:hAnsi="Times New Roman" w:eastAsia="宋体" w:cs="Times New Roman"/>
                <w:color w:val="auto"/>
                <w:sz w:val="21"/>
                <w:szCs w:val="21"/>
                <w:lang w:val="en-US"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1, beam steering rang 2</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D5898">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default" w:ascii="Times New Roman" w:hAnsi="Times New Roman" w:eastAsia="宋体" w:cs="Times New Roman"/>
                <w:color w:val="auto"/>
                <w:sz w:val="21"/>
                <w:szCs w:val="21"/>
                <w:lang w:bidi="ar"/>
              </w:rPr>
              <w:t>Rect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B4E11">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45E4E">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CEA63">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5DF12">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FFA68">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513F2">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8024B">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30E817BE">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51F25DA1">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4333DC5E">
            <w:pPr>
              <w:textAlignment w:val="center"/>
              <w:rPr>
                <w:rFonts w:hint="default" w:ascii="Times New Roman" w:hAnsi="Times New Roman" w:eastAsia="宋体" w:cs="Times New Roman"/>
                <w:color w:val="auto"/>
                <w:sz w:val="21"/>
                <w:szCs w:val="21"/>
                <w:lang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2, beam steering rang 1</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CD188">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default" w:ascii="Times New Roman" w:hAnsi="Times New Roman" w:eastAsia="宋体" w:cs="Times New Roman"/>
                <w:color w:val="auto"/>
                <w:sz w:val="21"/>
                <w:szCs w:val="21"/>
                <w:lang w:bidi="ar"/>
              </w:rPr>
              <w:t>Rect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DAECE">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BCFE3">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A4168">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5465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C425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022F6">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FB4C3">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4E1D117C">
        <w:tblPrEx>
          <w:tblCellMar>
            <w:top w:w="0" w:type="dxa"/>
            <w:left w:w="108" w:type="dxa"/>
            <w:bottom w:w="0" w:type="dxa"/>
            <w:right w:w="108" w:type="dxa"/>
          </w:tblCellMar>
        </w:tblPrEx>
        <w:trPr>
          <w:trHeight w:val="1231" w:hRule="atLeast"/>
        </w:trPr>
        <w:tc>
          <w:tcPr>
            <w:tcW w:w="658" w:type="pct"/>
            <w:vMerge w:val="continue"/>
            <w:tcBorders>
              <w:left w:val="single" w:color="000000" w:sz="4" w:space="0"/>
              <w:right w:val="single" w:color="000000" w:sz="4" w:space="0"/>
            </w:tcBorders>
            <w:shd w:val="clear" w:color="auto" w:fill="auto"/>
            <w:noWrap/>
            <w:vAlign w:val="center"/>
          </w:tcPr>
          <w:p w14:paraId="189A6BF7">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003F4B8B">
            <w:pPr>
              <w:textAlignment w:val="center"/>
              <w:rPr>
                <w:rFonts w:hint="default" w:ascii="Times New Roman" w:hAnsi="Times New Roman" w:eastAsia="宋体" w:cs="Times New Roman"/>
                <w:color w:val="auto"/>
                <w:sz w:val="21"/>
                <w:szCs w:val="21"/>
                <w:lang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2, beam steering rang 2</w:t>
            </w:r>
          </w:p>
        </w:tc>
        <w:tc>
          <w:tcPr>
            <w:tcW w:w="980" w:type="pct"/>
            <w:tcBorders>
              <w:top w:val="single" w:color="000000" w:sz="4" w:space="0"/>
              <w:left w:val="single" w:color="000000" w:sz="4" w:space="0"/>
              <w:right w:val="single" w:color="000000" w:sz="4" w:space="0"/>
            </w:tcBorders>
            <w:shd w:val="clear" w:color="auto" w:fill="auto"/>
            <w:noWrap/>
            <w:vAlign w:val="center"/>
          </w:tcPr>
          <w:p w14:paraId="63EC5F84">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default" w:ascii="Times New Roman" w:hAnsi="Times New Roman" w:eastAsia="宋体" w:cs="Times New Roman"/>
                <w:color w:val="auto"/>
                <w:sz w:val="21"/>
                <w:szCs w:val="21"/>
                <w:lang w:bidi="ar"/>
              </w:rPr>
              <w:t>Rect Ref</w:t>
            </w:r>
          </w:p>
        </w:tc>
        <w:tc>
          <w:tcPr>
            <w:tcW w:w="392" w:type="pct"/>
            <w:tcBorders>
              <w:top w:val="single" w:color="000000" w:sz="4" w:space="0"/>
              <w:left w:val="single" w:color="000000" w:sz="4" w:space="0"/>
              <w:right w:val="single" w:color="000000" w:sz="4" w:space="0"/>
            </w:tcBorders>
            <w:shd w:val="clear" w:color="auto" w:fill="auto"/>
            <w:noWrap/>
            <w:vAlign w:val="center"/>
          </w:tcPr>
          <w:p w14:paraId="6557405B">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right w:val="single" w:color="000000" w:sz="4" w:space="0"/>
            </w:tcBorders>
            <w:shd w:val="clear" w:color="auto" w:fill="auto"/>
            <w:noWrap/>
            <w:vAlign w:val="center"/>
          </w:tcPr>
          <w:p w14:paraId="327CF11C">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right w:val="single" w:color="000000" w:sz="4" w:space="0"/>
            </w:tcBorders>
            <w:shd w:val="clear" w:color="auto" w:fill="auto"/>
            <w:noWrap/>
            <w:vAlign w:val="center"/>
          </w:tcPr>
          <w:p w14:paraId="1C1056A5">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right w:val="single" w:color="000000" w:sz="4" w:space="0"/>
            </w:tcBorders>
            <w:shd w:val="clear" w:color="auto" w:fill="auto"/>
            <w:noWrap/>
            <w:vAlign w:val="center"/>
          </w:tcPr>
          <w:p w14:paraId="6A56563E">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right w:val="single" w:color="000000" w:sz="4" w:space="0"/>
            </w:tcBorders>
            <w:shd w:val="clear" w:color="auto" w:fill="auto"/>
            <w:noWrap/>
            <w:vAlign w:val="center"/>
          </w:tcPr>
          <w:p w14:paraId="240C746C">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right w:val="single" w:color="000000" w:sz="4" w:space="0"/>
            </w:tcBorders>
            <w:shd w:val="clear" w:color="auto" w:fill="auto"/>
            <w:noWrap/>
            <w:vAlign w:val="center"/>
          </w:tcPr>
          <w:p w14:paraId="5BE50237">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34EA3">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bl>
    <w:p w14:paraId="4FBD7907">
      <w:pPr>
        <w:pStyle w:val="134"/>
        <w:numPr>
          <w:ilvl w:val="0"/>
          <w:numId w:val="0"/>
        </w:numPr>
        <w:overflowPunct/>
        <w:autoSpaceDE/>
        <w:autoSpaceDN/>
        <w:adjustRightInd/>
        <w:spacing w:after="120"/>
        <w:ind w:left="1080" w:leftChars="0"/>
        <w:textAlignment w:val="auto"/>
        <w:rPr>
          <w:rFonts w:hint="eastAsia"/>
          <w:iCs/>
          <w:color w:val="auto"/>
          <w:highlight w:val="none"/>
          <w:lang w:val="en-US" w:eastAsia="zh-CN"/>
        </w:rPr>
      </w:pPr>
    </w:p>
    <w:p w14:paraId="146375F8">
      <w:pPr>
        <w:pStyle w:val="134"/>
        <w:numPr>
          <w:ilvl w:val="0"/>
          <w:numId w:val="0"/>
        </w:numPr>
        <w:overflowPunct/>
        <w:autoSpaceDE/>
        <w:autoSpaceDN/>
        <w:adjustRightInd/>
        <w:spacing w:after="120"/>
        <w:ind w:left="1080" w:leftChars="0"/>
        <w:textAlignment w:val="auto"/>
        <w:rPr>
          <w:rFonts w:hint="eastAsia"/>
          <w:iCs/>
          <w:color w:val="auto"/>
          <w:highlight w:val="none"/>
          <w:lang w:val="en-US" w:eastAsia="zh-CN"/>
        </w:rPr>
      </w:pPr>
    </w:p>
    <w:tbl>
      <w:tblPr>
        <w:tblStyle w:val="53"/>
        <w:tblW w:w="4991" w:type="pct"/>
        <w:tblInd w:w="0" w:type="dxa"/>
        <w:tblLayout w:type="fixed"/>
        <w:tblCellMar>
          <w:top w:w="0" w:type="dxa"/>
          <w:left w:w="108" w:type="dxa"/>
          <w:bottom w:w="0" w:type="dxa"/>
          <w:right w:w="108" w:type="dxa"/>
        </w:tblCellMar>
      </w:tblPr>
      <w:tblGrid>
        <w:gridCol w:w="1371"/>
        <w:gridCol w:w="1653"/>
        <w:gridCol w:w="2040"/>
        <w:gridCol w:w="816"/>
        <w:gridCol w:w="693"/>
        <w:gridCol w:w="745"/>
        <w:gridCol w:w="743"/>
        <w:gridCol w:w="695"/>
        <w:gridCol w:w="745"/>
        <w:gridCol w:w="899"/>
      </w:tblGrid>
      <w:tr w14:paraId="714441C2">
        <w:tblPrEx>
          <w:tblCellMar>
            <w:top w:w="0" w:type="dxa"/>
            <w:left w:w="108" w:type="dxa"/>
            <w:bottom w:w="0" w:type="dxa"/>
            <w:right w:w="108" w:type="dxa"/>
          </w:tblCellMar>
        </w:tblPrEx>
        <w:trPr>
          <w:trHeight w:val="270" w:hRule="atLeast"/>
        </w:trPr>
        <w:tc>
          <w:tcPr>
            <w:tcW w:w="658" w:type="pct"/>
            <w:vMerge w:val="restart"/>
            <w:tcBorders>
              <w:top w:val="single" w:color="000000" w:sz="4" w:space="0"/>
              <w:left w:val="single" w:color="000000" w:sz="4" w:space="0"/>
              <w:right w:val="single" w:color="000000" w:sz="4" w:space="0"/>
            </w:tcBorders>
            <w:shd w:val="clear" w:color="auto" w:fill="auto"/>
            <w:noWrap/>
            <w:vAlign w:val="center"/>
          </w:tcPr>
          <w:p w14:paraId="4530EDA0">
            <w:pPr>
              <w:textAlignment w:val="center"/>
              <w:rPr>
                <w:rFonts w:hint="default" w:ascii="Times New Roman" w:hAnsi="Times New Roman" w:eastAsia="宋体" w:cs="Times New Roman"/>
                <w:color w:val="auto"/>
                <w:sz w:val="21"/>
                <w:szCs w:val="21"/>
                <w:lang w:val="en-US" w:eastAsia="zh-CN" w:bidi="ar"/>
              </w:rPr>
            </w:pPr>
            <w:r>
              <w:rPr>
                <w:rFonts w:hint="eastAsia" w:ascii="Times New Roman" w:hAnsi="Times New Roman" w:cs="Times New Roman"/>
                <w:color w:val="auto"/>
                <w:sz w:val="21"/>
                <w:szCs w:val="21"/>
                <w:lang w:val="en-US" w:eastAsia="zh-CN" w:bidi="ar"/>
              </w:rPr>
              <w:t>Company A</w:t>
            </w:r>
          </w:p>
        </w:tc>
        <w:tc>
          <w:tcPr>
            <w:tcW w:w="794" w:type="pct"/>
            <w:tcBorders>
              <w:top w:val="single" w:color="000000" w:sz="4" w:space="0"/>
              <w:left w:val="single" w:color="000000" w:sz="4" w:space="0"/>
              <w:right w:val="single" w:color="000000" w:sz="4" w:space="0"/>
            </w:tcBorders>
            <w:shd w:val="clear" w:color="auto" w:fill="auto"/>
            <w:noWrap/>
            <w:vAlign w:val="center"/>
          </w:tcPr>
          <w:p w14:paraId="638512F3">
            <w:pPr>
              <w:textAlignment w:val="center"/>
              <w:rPr>
                <w:rFonts w:hint="eastAsia" w:ascii="Times New Roman" w:hAnsi="Times New Roman" w:eastAsia="宋体" w:cs="Times New Roman"/>
                <w:color w:val="auto"/>
                <w:sz w:val="21"/>
                <w:szCs w:val="21"/>
                <w:lang w:val="en-US" w:eastAsia="zh-CN"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CA72F">
            <w:pPr>
              <w:textAlignment w:val="center"/>
              <w:rPr>
                <w:rFonts w:hint="default" w:ascii="Times New Roman" w:hAnsi="Times New Roman" w:eastAsia="宋体" w:cs="Times New Roman"/>
                <w:color w:val="auto"/>
                <w:sz w:val="21"/>
                <w:szCs w:val="21"/>
                <w:lang w:val="en-US" w:eastAsia="zh-CN" w:bidi="ar"/>
              </w:rPr>
            </w:pPr>
            <w:r>
              <w:rPr>
                <w:rFonts w:hint="eastAsia" w:ascii="Times New Roman" w:hAnsi="Times New Roman" w:eastAsia="宋体" w:cs="Times New Roman"/>
                <w:color w:val="auto"/>
                <w:sz w:val="21"/>
                <w:szCs w:val="21"/>
                <w:lang w:val="en-US" w:eastAsia="zh-CN" w:bidi="ar"/>
              </w:rPr>
              <w:t>Bin index</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D6A4B">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w:t>
            </w: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A79AC">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76953">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3</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E80B6">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36F21">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5</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584B0">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6</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D630A">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7</w:t>
            </w:r>
          </w:p>
        </w:tc>
      </w:tr>
      <w:tr w14:paraId="02AB8FEF">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0FC6E8EB">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695A88BE">
            <w:pPr>
              <w:textAlignment w:val="center"/>
              <w:rPr>
                <w:rFonts w:hint="default" w:ascii="Times New Roman" w:hAnsi="Times New Roman" w:eastAsia="宋体" w:cs="Times New Roman"/>
                <w:color w:val="auto"/>
                <w:sz w:val="21"/>
                <w:szCs w:val="21"/>
                <w:lang w:val="en-US"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1, beam steering rang 1</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71F43">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eastAsia" w:cs="Times New Roman"/>
                <w:color w:val="auto"/>
                <w:sz w:val="21"/>
                <w:szCs w:val="21"/>
                <w:lang w:val="en-US" w:eastAsia="zh-CN" w:bidi="ar"/>
              </w:rPr>
              <w:t>ellipse</w:t>
            </w:r>
            <w:r>
              <w:rPr>
                <w:rFonts w:hint="default" w:ascii="Times New Roman" w:hAnsi="Times New Roman" w:eastAsia="宋体" w:cs="Times New Roman"/>
                <w:color w:val="auto"/>
                <w:sz w:val="21"/>
                <w:szCs w:val="21"/>
                <w:lang w:bidi="ar"/>
              </w:rPr>
              <w:t xml:space="preserve">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9D81C">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CD635">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944D6">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63F7D">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09C49">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E3AE1">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35627">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369FAB84">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062608BF">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1524215B">
            <w:pPr>
              <w:textAlignment w:val="center"/>
              <w:rPr>
                <w:rFonts w:hint="default" w:ascii="Times New Roman" w:hAnsi="Times New Roman" w:eastAsia="宋体" w:cs="Times New Roman"/>
                <w:color w:val="auto"/>
                <w:sz w:val="21"/>
                <w:szCs w:val="21"/>
                <w:lang w:val="en-US"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1, beam steering rang 2</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BC98E">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eastAsia" w:cs="Times New Roman"/>
                <w:color w:val="auto"/>
                <w:sz w:val="21"/>
                <w:szCs w:val="21"/>
                <w:lang w:val="en-US" w:eastAsia="zh-CN" w:bidi="ar"/>
              </w:rPr>
              <w:t>ellipse</w:t>
            </w:r>
            <w:r>
              <w:rPr>
                <w:rFonts w:hint="default" w:ascii="Times New Roman" w:hAnsi="Times New Roman" w:eastAsia="宋体" w:cs="Times New Roman"/>
                <w:color w:val="auto"/>
                <w:sz w:val="21"/>
                <w:szCs w:val="21"/>
                <w:lang w:bidi="ar"/>
              </w:rPr>
              <w:t xml:space="preserve">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17E4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3D714">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ED08E">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3A1E6">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CD179">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E65A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1D811">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39F01638">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2C85F108">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2B5A6FE7">
            <w:pPr>
              <w:textAlignment w:val="center"/>
              <w:rPr>
                <w:rFonts w:hint="default" w:ascii="Times New Roman" w:hAnsi="Times New Roman" w:eastAsia="宋体" w:cs="Times New Roman"/>
                <w:color w:val="auto"/>
                <w:sz w:val="21"/>
                <w:szCs w:val="21"/>
                <w:lang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2, beam steering rang 1</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19EB2">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eastAsia" w:cs="Times New Roman"/>
                <w:color w:val="auto"/>
                <w:sz w:val="21"/>
                <w:szCs w:val="21"/>
                <w:lang w:val="en-US" w:eastAsia="zh-CN" w:bidi="ar"/>
              </w:rPr>
              <w:t>ellipse</w:t>
            </w:r>
            <w:r>
              <w:rPr>
                <w:rFonts w:hint="default" w:ascii="Times New Roman" w:hAnsi="Times New Roman" w:eastAsia="宋体" w:cs="Times New Roman"/>
                <w:color w:val="auto"/>
                <w:sz w:val="21"/>
                <w:szCs w:val="21"/>
                <w:lang w:bidi="ar"/>
              </w:rPr>
              <w:t xml:space="preserve">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2B627">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7AC1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95D1E">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02602">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9684D">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C8037">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EA3D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4ECC9CB9">
        <w:tblPrEx>
          <w:tblCellMar>
            <w:top w:w="0" w:type="dxa"/>
            <w:left w:w="108" w:type="dxa"/>
            <w:bottom w:w="0" w:type="dxa"/>
            <w:right w:w="108" w:type="dxa"/>
          </w:tblCellMar>
        </w:tblPrEx>
        <w:trPr>
          <w:trHeight w:val="1231" w:hRule="atLeast"/>
        </w:trPr>
        <w:tc>
          <w:tcPr>
            <w:tcW w:w="658" w:type="pct"/>
            <w:vMerge w:val="continue"/>
            <w:tcBorders>
              <w:left w:val="single" w:color="000000" w:sz="4" w:space="0"/>
              <w:right w:val="single" w:color="000000" w:sz="4" w:space="0"/>
            </w:tcBorders>
            <w:shd w:val="clear" w:color="auto" w:fill="auto"/>
            <w:noWrap/>
            <w:vAlign w:val="center"/>
          </w:tcPr>
          <w:p w14:paraId="64D1FF57">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60B9A05A">
            <w:pPr>
              <w:textAlignment w:val="center"/>
              <w:rPr>
                <w:rFonts w:hint="default" w:ascii="Times New Roman" w:hAnsi="Times New Roman" w:eastAsia="宋体" w:cs="Times New Roman"/>
                <w:color w:val="auto"/>
                <w:sz w:val="21"/>
                <w:szCs w:val="21"/>
                <w:lang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2, beam steering rang 2</w:t>
            </w:r>
          </w:p>
        </w:tc>
        <w:tc>
          <w:tcPr>
            <w:tcW w:w="980" w:type="pct"/>
            <w:tcBorders>
              <w:top w:val="single" w:color="000000" w:sz="4" w:space="0"/>
              <w:left w:val="single" w:color="000000" w:sz="4" w:space="0"/>
              <w:right w:val="single" w:color="000000" w:sz="4" w:space="0"/>
            </w:tcBorders>
            <w:shd w:val="clear" w:color="auto" w:fill="auto"/>
            <w:noWrap/>
            <w:vAlign w:val="center"/>
          </w:tcPr>
          <w:p w14:paraId="765B66E3">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eastAsia" w:cs="Times New Roman"/>
                <w:color w:val="auto"/>
                <w:sz w:val="21"/>
                <w:szCs w:val="21"/>
                <w:lang w:val="en-US" w:eastAsia="zh-CN" w:bidi="ar"/>
              </w:rPr>
              <w:t>ellipse</w:t>
            </w:r>
            <w:r>
              <w:rPr>
                <w:rFonts w:hint="default" w:ascii="Times New Roman" w:hAnsi="Times New Roman" w:eastAsia="宋体" w:cs="Times New Roman"/>
                <w:color w:val="auto"/>
                <w:sz w:val="21"/>
                <w:szCs w:val="21"/>
                <w:lang w:bidi="ar"/>
              </w:rPr>
              <w:t xml:space="preserve"> Ref</w:t>
            </w:r>
          </w:p>
        </w:tc>
        <w:tc>
          <w:tcPr>
            <w:tcW w:w="392" w:type="pct"/>
            <w:tcBorders>
              <w:top w:val="single" w:color="000000" w:sz="4" w:space="0"/>
              <w:left w:val="single" w:color="000000" w:sz="4" w:space="0"/>
              <w:right w:val="single" w:color="000000" w:sz="4" w:space="0"/>
            </w:tcBorders>
            <w:shd w:val="clear" w:color="auto" w:fill="auto"/>
            <w:noWrap/>
            <w:vAlign w:val="center"/>
          </w:tcPr>
          <w:p w14:paraId="3254D00C">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right w:val="single" w:color="000000" w:sz="4" w:space="0"/>
            </w:tcBorders>
            <w:shd w:val="clear" w:color="auto" w:fill="auto"/>
            <w:noWrap/>
            <w:vAlign w:val="center"/>
          </w:tcPr>
          <w:p w14:paraId="56E9E74A">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right w:val="single" w:color="000000" w:sz="4" w:space="0"/>
            </w:tcBorders>
            <w:shd w:val="clear" w:color="auto" w:fill="auto"/>
            <w:noWrap/>
            <w:vAlign w:val="center"/>
          </w:tcPr>
          <w:p w14:paraId="2F940481">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right w:val="single" w:color="000000" w:sz="4" w:space="0"/>
            </w:tcBorders>
            <w:shd w:val="clear" w:color="auto" w:fill="auto"/>
            <w:noWrap/>
            <w:vAlign w:val="center"/>
          </w:tcPr>
          <w:p w14:paraId="6856A4A7">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right w:val="single" w:color="000000" w:sz="4" w:space="0"/>
            </w:tcBorders>
            <w:shd w:val="clear" w:color="auto" w:fill="auto"/>
            <w:noWrap/>
            <w:vAlign w:val="center"/>
          </w:tcPr>
          <w:p w14:paraId="57AA847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right w:val="single" w:color="000000" w:sz="4" w:space="0"/>
            </w:tcBorders>
            <w:shd w:val="clear" w:color="auto" w:fill="auto"/>
            <w:noWrap/>
            <w:vAlign w:val="center"/>
          </w:tcPr>
          <w:p w14:paraId="3CE1EE5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F0741">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1D74E6FB">
        <w:tblPrEx>
          <w:tblCellMar>
            <w:top w:w="0" w:type="dxa"/>
            <w:left w:w="108" w:type="dxa"/>
            <w:bottom w:w="0" w:type="dxa"/>
            <w:right w:w="108" w:type="dxa"/>
          </w:tblCellMar>
        </w:tblPrEx>
        <w:trPr>
          <w:trHeight w:val="270" w:hRule="atLeast"/>
        </w:trPr>
        <w:tc>
          <w:tcPr>
            <w:tcW w:w="658" w:type="pct"/>
            <w:vMerge w:val="restart"/>
            <w:tcBorders>
              <w:top w:val="single" w:color="000000" w:sz="4" w:space="0"/>
              <w:left w:val="single" w:color="000000" w:sz="4" w:space="0"/>
              <w:right w:val="single" w:color="000000" w:sz="4" w:space="0"/>
            </w:tcBorders>
            <w:shd w:val="clear" w:color="auto" w:fill="auto"/>
            <w:noWrap/>
            <w:vAlign w:val="center"/>
          </w:tcPr>
          <w:p w14:paraId="01F6CE5F">
            <w:pPr>
              <w:textAlignment w:val="center"/>
              <w:rPr>
                <w:rFonts w:hint="default" w:ascii="Times New Roman" w:hAnsi="Times New Roman" w:eastAsia="宋体" w:cs="Times New Roman"/>
                <w:color w:val="auto"/>
                <w:sz w:val="21"/>
                <w:szCs w:val="21"/>
                <w:lang w:val="en-US" w:eastAsia="zh-CN" w:bidi="ar"/>
              </w:rPr>
            </w:pPr>
            <w:r>
              <w:rPr>
                <w:rFonts w:hint="eastAsia" w:ascii="Times New Roman" w:hAnsi="Times New Roman" w:cs="Times New Roman"/>
                <w:color w:val="auto"/>
                <w:sz w:val="21"/>
                <w:szCs w:val="21"/>
                <w:lang w:val="en-US" w:eastAsia="zh-CN" w:bidi="ar"/>
              </w:rPr>
              <w:t xml:space="preserve">Company </w:t>
            </w:r>
            <w:r>
              <w:rPr>
                <w:rFonts w:hint="eastAsia" w:cs="Times New Roman"/>
                <w:color w:val="auto"/>
                <w:sz w:val="21"/>
                <w:szCs w:val="21"/>
                <w:lang w:val="en-US" w:eastAsia="zh-CN" w:bidi="ar"/>
              </w:rPr>
              <w:t>B</w:t>
            </w:r>
          </w:p>
        </w:tc>
        <w:tc>
          <w:tcPr>
            <w:tcW w:w="794" w:type="pct"/>
            <w:tcBorders>
              <w:top w:val="single" w:color="000000" w:sz="4" w:space="0"/>
              <w:left w:val="single" w:color="000000" w:sz="4" w:space="0"/>
              <w:right w:val="single" w:color="000000" w:sz="4" w:space="0"/>
            </w:tcBorders>
            <w:shd w:val="clear" w:color="auto" w:fill="auto"/>
            <w:noWrap/>
            <w:vAlign w:val="center"/>
          </w:tcPr>
          <w:p w14:paraId="338BFDAC">
            <w:pPr>
              <w:textAlignment w:val="center"/>
              <w:rPr>
                <w:rFonts w:hint="eastAsia" w:ascii="Times New Roman" w:hAnsi="Times New Roman" w:eastAsia="宋体" w:cs="Times New Roman"/>
                <w:color w:val="auto"/>
                <w:sz w:val="21"/>
                <w:szCs w:val="21"/>
                <w:lang w:val="en-US" w:eastAsia="zh-CN"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5BE60">
            <w:pPr>
              <w:textAlignment w:val="center"/>
              <w:rPr>
                <w:rFonts w:hint="default" w:ascii="Times New Roman" w:hAnsi="Times New Roman" w:eastAsia="宋体" w:cs="Times New Roman"/>
                <w:color w:val="auto"/>
                <w:sz w:val="21"/>
                <w:szCs w:val="21"/>
                <w:lang w:val="en-US" w:eastAsia="zh-CN" w:bidi="ar"/>
              </w:rPr>
            </w:pPr>
            <w:r>
              <w:rPr>
                <w:rFonts w:hint="eastAsia" w:ascii="Times New Roman" w:hAnsi="Times New Roman" w:eastAsia="宋体" w:cs="Times New Roman"/>
                <w:color w:val="auto"/>
                <w:sz w:val="21"/>
                <w:szCs w:val="21"/>
                <w:lang w:val="en-US" w:eastAsia="zh-CN" w:bidi="ar"/>
              </w:rPr>
              <w:t>Bin index</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0DBF4">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w:t>
            </w: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41CB8">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820FD">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3</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2996D">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80F66">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5</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E29E0">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6</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C36BD">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7</w:t>
            </w:r>
          </w:p>
        </w:tc>
      </w:tr>
      <w:tr w14:paraId="74560B08">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2742048F">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1F86B32A">
            <w:pPr>
              <w:textAlignment w:val="center"/>
              <w:rPr>
                <w:rFonts w:hint="default" w:ascii="Times New Roman" w:hAnsi="Times New Roman" w:eastAsia="宋体" w:cs="Times New Roman"/>
                <w:color w:val="auto"/>
                <w:sz w:val="21"/>
                <w:szCs w:val="21"/>
                <w:lang w:val="en-US"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1, beam steering rang 1</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68A2E">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eastAsia" w:cs="Times New Roman"/>
                <w:color w:val="auto"/>
                <w:sz w:val="21"/>
                <w:szCs w:val="21"/>
                <w:lang w:val="en-US" w:eastAsia="zh-CN" w:bidi="ar"/>
              </w:rPr>
              <w:t>ellipse</w:t>
            </w:r>
            <w:r>
              <w:rPr>
                <w:rFonts w:hint="default" w:ascii="Times New Roman" w:hAnsi="Times New Roman" w:eastAsia="宋体" w:cs="Times New Roman"/>
                <w:color w:val="auto"/>
                <w:sz w:val="21"/>
                <w:szCs w:val="21"/>
                <w:lang w:bidi="ar"/>
              </w:rPr>
              <w:t xml:space="preserve">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326FA">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CA55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87C97">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E2838">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CC21E">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FC045">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5D4B3">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69D75DF6">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30ABEE05">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6B5612A2">
            <w:pPr>
              <w:textAlignment w:val="center"/>
              <w:rPr>
                <w:rFonts w:hint="default" w:ascii="Times New Roman" w:hAnsi="Times New Roman" w:eastAsia="宋体" w:cs="Times New Roman"/>
                <w:color w:val="auto"/>
                <w:sz w:val="21"/>
                <w:szCs w:val="21"/>
                <w:lang w:val="en-US"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1, beam steering rang 2</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D7CAB">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eastAsia" w:cs="Times New Roman"/>
                <w:color w:val="auto"/>
                <w:sz w:val="21"/>
                <w:szCs w:val="21"/>
                <w:lang w:val="en-US" w:eastAsia="zh-CN" w:bidi="ar"/>
              </w:rPr>
              <w:t>ellipse</w:t>
            </w:r>
            <w:r>
              <w:rPr>
                <w:rFonts w:hint="default" w:ascii="Times New Roman" w:hAnsi="Times New Roman" w:eastAsia="宋体" w:cs="Times New Roman"/>
                <w:color w:val="auto"/>
                <w:sz w:val="21"/>
                <w:szCs w:val="21"/>
                <w:lang w:bidi="ar"/>
              </w:rPr>
              <w:t xml:space="preserve">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7F50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1D831">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0665E">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4B4DB">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C2E9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302BA">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09C5B">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51CC4A08">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10D1C5CA">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7A70BC7F">
            <w:pPr>
              <w:textAlignment w:val="center"/>
              <w:rPr>
                <w:rFonts w:hint="default" w:ascii="Times New Roman" w:hAnsi="Times New Roman" w:eastAsia="宋体" w:cs="Times New Roman"/>
                <w:color w:val="auto"/>
                <w:sz w:val="21"/>
                <w:szCs w:val="21"/>
                <w:lang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2, beam steering rang 1</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2D719">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eastAsia" w:cs="Times New Roman"/>
                <w:color w:val="auto"/>
                <w:sz w:val="21"/>
                <w:szCs w:val="21"/>
                <w:lang w:val="en-US" w:eastAsia="zh-CN" w:bidi="ar"/>
              </w:rPr>
              <w:t>ellipse</w:t>
            </w:r>
            <w:r>
              <w:rPr>
                <w:rFonts w:hint="default" w:ascii="Times New Roman" w:hAnsi="Times New Roman" w:eastAsia="宋体" w:cs="Times New Roman"/>
                <w:color w:val="auto"/>
                <w:sz w:val="21"/>
                <w:szCs w:val="21"/>
                <w:lang w:bidi="ar"/>
              </w:rPr>
              <w:t xml:space="preserve">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B5E93">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03633">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6DACC">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A0FA1">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66D7D">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C59F2">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B793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429861BA">
        <w:tblPrEx>
          <w:tblCellMar>
            <w:top w:w="0" w:type="dxa"/>
            <w:left w:w="108" w:type="dxa"/>
            <w:bottom w:w="0" w:type="dxa"/>
            <w:right w:w="108" w:type="dxa"/>
          </w:tblCellMar>
        </w:tblPrEx>
        <w:trPr>
          <w:trHeight w:val="1231" w:hRule="atLeast"/>
        </w:trPr>
        <w:tc>
          <w:tcPr>
            <w:tcW w:w="658" w:type="pct"/>
            <w:vMerge w:val="continue"/>
            <w:tcBorders>
              <w:left w:val="single" w:color="000000" w:sz="4" w:space="0"/>
              <w:right w:val="single" w:color="000000" w:sz="4" w:space="0"/>
            </w:tcBorders>
            <w:shd w:val="clear" w:color="auto" w:fill="auto"/>
            <w:noWrap/>
            <w:vAlign w:val="center"/>
          </w:tcPr>
          <w:p w14:paraId="3F91847B">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77F1C34A">
            <w:pPr>
              <w:textAlignment w:val="center"/>
              <w:rPr>
                <w:rFonts w:hint="default" w:ascii="Times New Roman" w:hAnsi="Times New Roman" w:eastAsia="宋体" w:cs="Times New Roman"/>
                <w:color w:val="auto"/>
                <w:sz w:val="21"/>
                <w:szCs w:val="21"/>
                <w:lang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2, beam steering rang 2</w:t>
            </w:r>
          </w:p>
        </w:tc>
        <w:tc>
          <w:tcPr>
            <w:tcW w:w="980" w:type="pct"/>
            <w:tcBorders>
              <w:top w:val="single" w:color="000000" w:sz="4" w:space="0"/>
              <w:left w:val="single" w:color="000000" w:sz="4" w:space="0"/>
              <w:right w:val="single" w:color="000000" w:sz="4" w:space="0"/>
            </w:tcBorders>
            <w:shd w:val="clear" w:color="auto" w:fill="auto"/>
            <w:noWrap/>
            <w:vAlign w:val="center"/>
          </w:tcPr>
          <w:p w14:paraId="1D01C0A1">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eastAsia" w:cs="Times New Roman"/>
                <w:color w:val="auto"/>
                <w:sz w:val="21"/>
                <w:szCs w:val="21"/>
                <w:lang w:val="en-US" w:eastAsia="zh-CN" w:bidi="ar"/>
              </w:rPr>
              <w:t>ellipse</w:t>
            </w:r>
            <w:r>
              <w:rPr>
                <w:rFonts w:hint="default" w:ascii="Times New Roman" w:hAnsi="Times New Roman" w:eastAsia="宋体" w:cs="Times New Roman"/>
                <w:color w:val="auto"/>
                <w:sz w:val="21"/>
                <w:szCs w:val="21"/>
                <w:lang w:bidi="ar"/>
              </w:rPr>
              <w:t xml:space="preserve"> Ref</w:t>
            </w:r>
          </w:p>
        </w:tc>
        <w:tc>
          <w:tcPr>
            <w:tcW w:w="392" w:type="pct"/>
            <w:tcBorders>
              <w:top w:val="single" w:color="000000" w:sz="4" w:space="0"/>
              <w:left w:val="single" w:color="000000" w:sz="4" w:space="0"/>
              <w:right w:val="single" w:color="000000" w:sz="4" w:space="0"/>
            </w:tcBorders>
            <w:shd w:val="clear" w:color="auto" w:fill="auto"/>
            <w:noWrap/>
            <w:vAlign w:val="center"/>
          </w:tcPr>
          <w:p w14:paraId="75FCB8AA">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right w:val="single" w:color="000000" w:sz="4" w:space="0"/>
            </w:tcBorders>
            <w:shd w:val="clear" w:color="auto" w:fill="auto"/>
            <w:noWrap/>
            <w:vAlign w:val="center"/>
          </w:tcPr>
          <w:p w14:paraId="01E14E5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right w:val="single" w:color="000000" w:sz="4" w:space="0"/>
            </w:tcBorders>
            <w:shd w:val="clear" w:color="auto" w:fill="auto"/>
            <w:noWrap/>
            <w:vAlign w:val="center"/>
          </w:tcPr>
          <w:p w14:paraId="4E08AE7B">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right w:val="single" w:color="000000" w:sz="4" w:space="0"/>
            </w:tcBorders>
            <w:shd w:val="clear" w:color="auto" w:fill="auto"/>
            <w:noWrap/>
            <w:vAlign w:val="center"/>
          </w:tcPr>
          <w:p w14:paraId="7B55639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right w:val="single" w:color="000000" w:sz="4" w:space="0"/>
            </w:tcBorders>
            <w:shd w:val="clear" w:color="auto" w:fill="auto"/>
            <w:noWrap/>
            <w:vAlign w:val="center"/>
          </w:tcPr>
          <w:p w14:paraId="2197D03A">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right w:val="single" w:color="000000" w:sz="4" w:space="0"/>
            </w:tcBorders>
            <w:shd w:val="clear" w:color="auto" w:fill="auto"/>
            <w:noWrap/>
            <w:vAlign w:val="center"/>
          </w:tcPr>
          <w:p w14:paraId="7D210206">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DB30C">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bl>
    <w:p w14:paraId="0422B33E">
      <w:pPr>
        <w:pStyle w:val="134"/>
        <w:numPr>
          <w:ilvl w:val="0"/>
          <w:numId w:val="0"/>
        </w:numPr>
        <w:overflowPunct/>
        <w:autoSpaceDE/>
        <w:autoSpaceDN/>
        <w:adjustRightInd/>
        <w:spacing w:after="120"/>
        <w:textAlignment w:val="auto"/>
        <w:rPr>
          <w:rFonts w:hint="eastAsia"/>
          <w:iCs/>
          <w:color w:val="auto"/>
          <w:highlight w:val="none"/>
          <w:lang w:val="en-US" w:eastAsia="zh-CN"/>
        </w:rPr>
      </w:pPr>
    </w:p>
    <w:p w14:paraId="0868B783">
      <w:pPr>
        <w:pStyle w:val="134"/>
        <w:numPr>
          <w:ilvl w:val="1"/>
          <w:numId w:val="17"/>
        </w:numPr>
        <w:overflowPunct/>
        <w:autoSpaceDE/>
        <w:autoSpaceDN/>
        <w:adjustRightInd/>
        <w:spacing w:after="120"/>
        <w:ind w:left="1440" w:firstLineChars="0"/>
        <w:textAlignment w:val="auto"/>
        <w:rPr>
          <w:rFonts w:hint="eastAsia" w:ascii="Times New Roman" w:hAnsi="Times New Roman" w:cs="Times New Roman"/>
          <w:iCs/>
          <w:color w:val="auto"/>
          <w:highlight w:val="none"/>
          <w:lang w:val="en-US" w:eastAsia="zh-CN"/>
        </w:rPr>
      </w:pPr>
      <w:r>
        <w:rPr>
          <w:rFonts w:hint="eastAsia" w:ascii="Times New Roman" w:hAnsi="Times New Roman" w:cs="Times New Roman"/>
          <w:iCs/>
          <w:color w:val="auto"/>
          <w:highlight w:val="none"/>
          <w:lang w:val="en-US" w:eastAsia="zh-CN"/>
        </w:rPr>
        <w:t xml:space="preserve"> For C1-1 </w:t>
      </w:r>
      <w:r>
        <w:rPr>
          <w:rFonts w:hint="eastAsia" w:ascii="Times New Roman" w:hAnsi="Times New Roman" w:cs="Times New Roman"/>
          <w:iCs/>
          <w:color w:val="auto"/>
          <w:highlight w:val="none"/>
          <w:lang w:val="en-US" w:eastAsia="en-GB"/>
        </w:rPr>
        <w:t xml:space="preserve">Uncertainty of the RF power measurement equipment </w:t>
      </w:r>
      <w:r>
        <w:rPr>
          <w:rFonts w:hint="eastAsia" w:ascii="Times New Roman" w:hAnsi="Times New Roman" w:eastAsia="宋体" w:cs="Times New Roman"/>
          <w:iCs/>
          <w:color w:val="auto"/>
          <w:highlight w:val="none"/>
          <w:lang w:val="en-US" w:eastAsia="zh-CN"/>
        </w:rPr>
        <w:t>for</w:t>
      </w:r>
      <w:r>
        <w:rPr>
          <w:rFonts w:hint="eastAsia" w:ascii="Times New Roman" w:hAnsi="Times New Roman" w:cs="Times New Roman"/>
          <w:iCs/>
          <w:color w:val="auto"/>
          <w:highlight w:val="none"/>
          <w:lang w:val="en-US" w:eastAsia="en-GB"/>
        </w:rPr>
        <w:t xml:space="preserve"> spectrum analyzer</w:t>
      </w:r>
      <w:r>
        <w:rPr>
          <w:rFonts w:hint="eastAsia" w:ascii="Times New Roman" w:hAnsi="Times New Roman" w:eastAsia="宋体" w:cs="Times New Roman"/>
          <w:iCs/>
          <w:color w:val="auto"/>
          <w:highlight w:val="none"/>
          <w:lang w:val="en-US" w:eastAsia="zh-CN"/>
        </w:rPr>
        <w:t xml:space="preserve"> at band n104, further discuss it from Rel-17 band n104. </w:t>
      </w:r>
    </w:p>
    <w:p w14:paraId="4CDACA58">
      <w:pPr>
        <w:rPr>
          <w:rFonts w:hint="default"/>
          <w:color w:val="auto"/>
          <w:u w:val="single"/>
          <w:lang w:val="en-US" w:eastAsia="zh-CN"/>
        </w:rPr>
      </w:pPr>
    </w:p>
    <w:p w14:paraId="3DE16B61">
      <w:pPr>
        <w:rPr>
          <w:color w:val="auto"/>
          <w:lang w:val="sv-SE" w:eastAsia="zh-CN"/>
        </w:rPr>
      </w:pPr>
      <w:r>
        <w:rPr>
          <w:rFonts w:hint="eastAsia"/>
          <w:b/>
          <w:bCs/>
          <w:iCs/>
          <w:color w:val="auto"/>
          <w:lang w:val="en-US" w:eastAsia="zh-CN"/>
        </w:rPr>
        <w:t>Issue 2-7: CI</w:t>
      </w:r>
    </w:p>
    <w:p w14:paraId="1BA1A20C">
      <w:pPr>
        <w:pStyle w:val="134"/>
        <w:numPr>
          <w:ilvl w:val="0"/>
          <w:numId w:val="17"/>
        </w:numPr>
        <w:overflowPunct/>
        <w:autoSpaceDE/>
        <w:autoSpaceDN/>
        <w:adjustRightInd/>
        <w:spacing w:after="120"/>
        <w:ind w:left="720" w:firstLineChars="0"/>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szCs w:val="24"/>
          <w:highlight w:val="none"/>
          <w:lang w:val="en-US" w:eastAsia="zh-CN"/>
        </w:rPr>
        <w:t xml:space="preserve">Recommended WF: </w:t>
      </w:r>
    </w:p>
    <w:p w14:paraId="6529037A">
      <w:pPr>
        <w:pStyle w:val="134"/>
        <w:numPr>
          <w:ilvl w:val="1"/>
          <w:numId w:val="17"/>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To capture the CI calculation in the TR.</w:t>
      </w:r>
    </w:p>
    <w:p w14:paraId="1B13BD55">
      <w:pPr>
        <w:pStyle w:val="134"/>
        <w:numPr>
          <w:ilvl w:val="1"/>
          <w:numId w:val="17"/>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For CI of agreed testing beam pattern, agree to use the  following summarized error information to do the statistical analysis for the distribution and Confidence interval based on the agreed test beam;</w:t>
      </w:r>
    </w:p>
    <w:p w14:paraId="47AE25A5">
      <w:pPr>
        <w:pStyle w:val="134"/>
        <w:numPr>
          <w:ilvl w:val="2"/>
          <w:numId w:val="17"/>
        </w:numPr>
        <w:overflowPunct/>
        <w:autoSpaceDE/>
        <w:autoSpaceDN/>
        <w:adjustRightInd/>
        <w:spacing w:after="120"/>
        <w:ind w:left="1860" w:leftChars="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Where error in the following table is defined as  EEIRP per bin of agreed test beam pattern minus EEIRP per bin of reference testing beam (e.g. rectangular reference or ellipse reference)</w:t>
      </w:r>
    </w:p>
    <w:p w14:paraId="688CF4B6">
      <w:pPr>
        <w:pStyle w:val="134"/>
        <w:numPr>
          <w:ilvl w:val="2"/>
          <w:numId w:val="17"/>
        </w:numPr>
        <w:overflowPunct/>
        <w:autoSpaceDE/>
        <w:autoSpaceDN/>
        <w:adjustRightInd/>
        <w:spacing w:after="120"/>
        <w:ind w:left="1860" w:leftChars="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 xml:space="preserve">Step 1: to do the statistical analysis of  the distribution of collected errors for the inputs based on different antenna configuration and steering range according to the agreed test beam pattern; </w:t>
      </w:r>
    </w:p>
    <w:p w14:paraId="6D28D9DE">
      <w:pPr>
        <w:pStyle w:val="134"/>
        <w:numPr>
          <w:ilvl w:val="2"/>
          <w:numId w:val="17"/>
        </w:numPr>
        <w:overflowPunct/>
        <w:autoSpaceDE/>
        <w:autoSpaceDN/>
        <w:adjustRightInd/>
        <w:spacing w:after="120"/>
        <w:ind w:left="1860" w:leftChars="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Step 2: to calculate the standard deviation of collected errors;</w:t>
      </w:r>
    </w:p>
    <w:p w14:paraId="77A39A91">
      <w:pPr>
        <w:pStyle w:val="134"/>
        <w:numPr>
          <w:ilvl w:val="2"/>
          <w:numId w:val="17"/>
        </w:numPr>
        <w:overflowPunct/>
        <w:autoSpaceDE/>
        <w:autoSpaceDN/>
        <w:adjustRightInd/>
        <w:spacing w:after="120"/>
        <w:ind w:left="1860" w:leftChars="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 xml:space="preserve">Step 3: to calculate the confidence interval based on the standard deviation in the step 2 and distribution of the errors in step 1. </w:t>
      </w:r>
    </w:p>
    <w:tbl>
      <w:tblPr>
        <w:tblStyle w:val="53"/>
        <w:tblW w:w="4991" w:type="pct"/>
        <w:tblInd w:w="0" w:type="dxa"/>
        <w:tblLayout w:type="fixed"/>
        <w:tblCellMar>
          <w:top w:w="0" w:type="dxa"/>
          <w:left w:w="108" w:type="dxa"/>
          <w:bottom w:w="0" w:type="dxa"/>
          <w:right w:w="108" w:type="dxa"/>
        </w:tblCellMar>
      </w:tblPr>
      <w:tblGrid>
        <w:gridCol w:w="1371"/>
        <w:gridCol w:w="1653"/>
        <w:gridCol w:w="2040"/>
        <w:gridCol w:w="816"/>
        <w:gridCol w:w="693"/>
        <w:gridCol w:w="745"/>
        <w:gridCol w:w="743"/>
        <w:gridCol w:w="695"/>
        <w:gridCol w:w="745"/>
        <w:gridCol w:w="899"/>
      </w:tblGrid>
      <w:tr w14:paraId="3DFC68EF">
        <w:tblPrEx>
          <w:tblCellMar>
            <w:top w:w="0" w:type="dxa"/>
            <w:left w:w="108" w:type="dxa"/>
            <w:bottom w:w="0" w:type="dxa"/>
            <w:right w:w="108" w:type="dxa"/>
          </w:tblCellMar>
        </w:tblPrEx>
        <w:trPr>
          <w:trHeight w:val="270" w:hRule="atLeast"/>
        </w:trPr>
        <w:tc>
          <w:tcPr>
            <w:tcW w:w="658" w:type="pct"/>
            <w:vMerge w:val="restart"/>
            <w:tcBorders>
              <w:top w:val="single" w:color="000000" w:sz="4" w:space="0"/>
              <w:left w:val="single" w:color="000000" w:sz="4" w:space="0"/>
              <w:right w:val="single" w:color="000000" w:sz="4" w:space="0"/>
            </w:tcBorders>
            <w:shd w:val="clear" w:color="auto" w:fill="auto"/>
            <w:noWrap/>
            <w:vAlign w:val="center"/>
          </w:tcPr>
          <w:p w14:paraId="57BAC79F">
            <w:pPr>
              <w:textAlignment w:val="center"/>
              <w:rPr>
                <w:rFonts w:hint="default" w:ascii="Times New Roman" w:hAnsi="Times New Roman" w:eastAsia="宋体" w:cs="Times New Roman"/>
                <w:color w:val="auto"/>
                <w:sz w:val="21"/>
                <w:szCs w:val="21"/>
                <w:lang w:val="en-US" w:eastAsia="zh-CN" w:bidi="ar"/>
              </w:rPr>
            </w:pPr>
            <w:r>
              <w:rPr>
                <w:rFonts w:hint="eastAsia" w:ascii="Times New Roman" w:hAnsi="Times New Roman" w:cs="Times New Roman"/>
                <w:color w:val="auto"/>
                <w:sz w:val="21"/>
                <w:szCs w:val="21"/>
                <w:lang w:val="en-US" w:eastAsia="zh-CN" w:bidi="ar"/>
              </w:rPr>
              <w:t>Company A</w:t>
            </w:r>
          </w:p>
        </w:tc>
        <w:tc>
          <w:tcPr>
            <w:tcW w:w="794" w:type="pct"/>
            <w:tcBorders>
              <w:top w:val="single" w:color="000000" w:sz="4" w:space="0"/>
              <w:left w:val="single" w:color="000000" w:sz="4" w:space="0"/>
              <w:right w:val="single" w:color="000000" w:sz="4" w:space="0"/>
            </w:tcBorders>
            <w:shd w:val="clear" w:color="auto" w:fill="auto"/>
            <w:noWrap/>
            <w:vAlign w:val="center"/>
          </w:tcPr>
          <w:p w14:paraId="6CDE5632">
            <w:pPr>
              <w:textAlignment w:val="center"/>
              <w:rPr>
                <w:rFonts w:hint="eastAsia" w:ascii="Times New Roman" w:hAnsi="Times New Roman" w:eastAsia="宋体" w:cs="Times New Roman"/>
                <w:color w:val="auto"/>
                <w:sz w:val="21"/>
                <w:szCs w:val="21"/>
                <w:lang w:val="en-US" w:eastAsia="zh-CN"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CF97E">
            <w:pPr>
              <w:textAlignment w:val="center"/>
              <w:rPr>
                <w:rFonts w:hint="default" w:ascii="Times New Roman" w:hAnsi="Times New Roman" w:eastAsia="宋体" w:cs="Times New Roman"/>
                <w:color w:val="auto"/>
                <w:sz w:val="21"/>
                <w:szCs w:val="21"/>
                <w:lang w:val="en-US" w:eastAsia="zh-CN" w:bidi="ar"/>
              </w:rPr>
            </w:pPr>
            <w:r>
              <w:rPr>
                <w:rFonts w:hint="eastAsia" w:ascii="Times New Roman" w:hAnsi="Times New Roman" w:eastAsia="宋体" w:cs="Times New Roman"/>
                <w:color w:val="auto"/>
                <w:sz w:val="21"/>
                <w:szCs w:val="21"/>
                <w:lang w:val="en-US" w:eastAsia="zh-CN" w:bidi="ar"/>
              </w:rPr>
              <w:t>Bin index</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13211">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w:t>
            </w: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CCBD0">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8EF24">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3</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52C17">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3F061">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5</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7024C">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6</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0DBBA">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7</w:t>
            </w:r>
          </w:p>
        </w:tc>
      </w:tr>
      <w:tr w14:paraId="37146AA8">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4DC936BD">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790DD418">
            <w:pPr>
              <w:textAlignment w:val="center"/>
              <w:rPr>
                <w:rFonts w:hint="default" w:ascii="Times New Roman" w:hAnsi="Times New Roman" w:eastAsia="宋体" w:cs="Times New Roman"/>
                <w:color w:val="auto"/>
                <w:sz w:val="21"/>
                <w:szCs w:val="21"/>
                <w:lang w:val="en-US"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1, beam steering rang 1</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B31A1">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default" w:ascii="Times New Roman" w:hAnsi="Times New Roman" w:eastAsia="宋体" w:cs="Times New Roman"/>
                <w:color w:val="auto"/>
                <w:sz w:val="21"/>
                <w:szCs w:val="21"/>
                <w:lang w:bidi="ar"/>
              </w:rPr>
              <w:t>Rect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09E7B">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7C575">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D892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45542">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27533">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00CC2">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A037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37BDE0EC">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32764F31">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05D0F6AC">
            <w:pPr>
              <w:textAlignment w:val="center"/>
              <w:rPr>
                <w:rFonts w:hint="default" w:ascii="Times New Roman" w:hAnsi="Times New Roman" w:eastAsia="宋体" w:cs="Times New Roman"/>
                <w:color w:val="auto"/>
                <w:sz w:val="21"/>
                <w:szCs w:val="21"/>
                <w:lang w:val="en-US"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1, beam steering rang 2</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61F2D">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default" w:ascii="Times New Roman" w:hAnsi="Times New Roman" w:eastAsia="宋体" w:cs="Times New Roman"/>
                <w:color w:val="auto"/>
                <w:sz w:val="21"/>
                <w:szCs w:val="21"/>
                <w:lang w:bidi="ar"/>
              </w:rPr>
              <w:t>Rect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2D956">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9CC2D">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C776D">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2AC1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EBE61">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DB00E">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F993C">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651ED8B8">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7314AE83">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19731C92">
            <w:pPr>
              <w:textAlignment w:val="center"/>
              <w:rPr>
                <w:rFonts w:hint="default" w:ascii="Times New Roman" w:hAnsi="Times New Roman" w:eastAsia="宋体" w:cs="Times New Roman"/>
                <w:color w:val="auto"/>
                <w:sz w:val="21"/>
                <w:szCs w:val="21"/>
                <w:lang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2, beam steering rang 1</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1EEBD">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default" w:ascii="Times New Roman" w:hAnsi="Times New Roman" w:eastAsia="宋体" w:cs="Times New Roman"/>
                <w:color w:val="auto"/>
                <w:sz w:val="21"/>
                <w:szCs w:val="21"/>
                <w:lang w:bidi="ar"/>
              </w:rPr>
              <w:t>Rect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B788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81BB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9208A">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6BE2A">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BA7CD">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D2497">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8CCFD">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02BF176B">
        <w:tblPrEx>
          <w:tblCellMar>
            <w:top w:w="0" w:type="dxa"/>
            <w:left w:w="108" w:type="dxa"/>
            <w:bottom w:w="0" w:type="dxa"/>
            <w:right w:w="108" w:type="dxa"/>
          </w:tblCellMar>
        </w:tblPrEx>
        <w:trPr>
          <w:trHeight w:val="1231" w:hRule="atLeast"/>
        </w:trPr>
        <w:tc>
          <w:tcPr>
            <w:tcW w:w="658" w:type="pct"/>
            <w:vMerge w:val="continue"/>
            <w:tcBorders>
              <w:left w:val="single" w:color="000000" w:sz="4" w:space="0"/>
              <w:right w:val="single" w:color="000000" w:sz="4" w:space="0"/>
            </w:tcBorders>
            <w:shd w:val="clear" w:color="auto" w:fill="auto"/>
            <w:noWrap/>
            <w:vAlign w:val="center"/>
          </w:tcPr>
          <w:p w14:paraId="0B85FEB2">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47161765">
            <w:pPr>
              <w:textAlignment w:val="center"/>
              <w:rPr>
                <w:rFonts w:hint="default" w:ascii="Times New Roman" w:hAnsi="Times New Roman" w:eastAsia="宋体" w:cs="Times New Roman"/>
                <w:color w:val="auto"/>
                <w:sz w:val="21"/>
                <w:szCs w:val="21"/>
                <w:lang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2, beam steering rang 2</w:t>
            </w:r>
          </w:p>
        </w:tc>
        <w:tc>
          <w:tcPr>
            <w:tcW w:w="980" w:type="pct"/>
            <w:tcBorders>
              <w:top w:val="single" w:color="000000" w:sz="4" w:space="0"/>
              <w:left w:val="single" w:color="000000" w:sz="4" w:space="0"/>
              <w:right w:val="single" w:color="000000" w:sz="4" w:space="0"/>
            </w:tcBorders>
            <w:shd w:val="clear" w:color="auto" w:fill="auto"/>
            <w:noWrap/>
            <w:vAlign w:val="center"/>
          </w:tcPr>
          <w:p w14:paraId="540A4539">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default" w:ascii="Times New Roman" w:hAnsi="Times New Roman" w:eastAsia="宋体" w:cs="Times New Roman"/>
                <w:color w:val="auto"/>
                <w:sz w:val="21"/>
                <w:szCs w:val="21"/>
                <w:lang w:bidi="ar"/>
              </w:rPr>
              <w:t>Rect Ref</w:t>
            </w:r>
          </w:p>
        </w:tc>
        <w:tc>
          <w:tcPr>
            <w:tcW w:w="392" w:type="pct"/>
            <w:tcBorders>
              <w:top w:val="single" w:color="000000" w:sz="4" w:space="0"/>
              <w:left w:val="single" w:color="000000" w:sz="4" w:space="0"/>
              <w:right w:val="single" w:color="000000" w:sz="4" w:space="0"/>
            </w:tcBorders>
            <w:shd w:val="clear" w:color="auto" w:fill="auto"/>
            <w:noWrap/>
            <w:vAlign w:val="center"/>
          </w:tcPr>
          <w:p w14:paraId="37374995">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right w:val="single" w:color="000000" w:sz="4" w:space="0"/>
            </w:tcBorders>
            <w:shd w:val="clear" w:color="auto" w:fill="auto"/>
            <w:noWrap/>
            <w:vAlign w:val="center"/>
          </w:tcPr>
          <w:p w14:paraId="25D4B627">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right w:val="single" w:color="000000" w:sz="4" w:space="0"/>
            </w:tcBorders>
            <w:shd w:val="clear" w:color="auto" w:fill="auto"/>
            <w:noWrap/>
            <w:vAlign w:val="center"/>
          </w:tcPr>
          <w:p w14:paraId="651EA46C">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right w:val="single" w:color="000000" w:sz="4" w:space="0"/>
            </w:tcBorders>
            <w:shd w:val="clear" w:color="auto" w:fill="auto"/>
            <w:noWrap/>
            <w:vAlign w:val="center"/>
          </w:tcPr>
          <w:p w14:paraId="2674CCFA">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right w:val="single" w:color="000000" w:sz="4" w:space="0"/>
            </w:tcBorders>
            <w:shd w:val="clear" w:color="auto" w:fill="auto"/>
            <w:noWrap/>
            <w:vAlign w:val="center"/>
          </w:tcPr>
          <w:p w14:paraId="467C02C3">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right w:val="single" w:color="000000" w:sz="4" w:space="0"/>
            </w:tcBorders>
            <w:shd w:val="clear" w:color="auto" w:fill="auto"/>
            <w:noWrap/>
            <w:vAlign w:val="center"/>
          </w:tcPr>
          <w:p w14:paraId="42E98831">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73A08">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64B3660C">
        <w:tblPrEx>
          <w:tblCellMar>
            <w:top w:w="0" w:type="dxa"/>
            <w:left w:w="108" w:type="dxa"/>
            <w:bottom w:w="0" w:type="dxa"/>
            <w:right w:w="108" w:type="dxa"/>
          </w:tblCellMar>
        </w:tblPrEx>
        <w:trPr>
          <w:trHeight w:val="270" w:hRule="atLeast"/>
        </w:trPr>
        <w:tc>
          <w:tcPr>
            <w:tcW w:w="658" w:type="pct"/>
            <w:vMerge w:val="restart"/>
            <w:tcBorders>
              <w:top w:val="single" w:color="000000" w:sz="4" w:space="0"/>
              <w:left w:val="single" w:color="000000" w:sz="4" w:space="0"/>
              <w:right w:val="single" w:color="000000" w:sz="4" w:space="0"/>
            </w:tcBorders>
            <w:shd w:val="clear" w:color="auto" w:fill="auto"/>
            <w:noWrap/>
            <w:vAlign w:val="center"/>
          </w:tcPr>
          <w:p w14:paraId="3FE2A75C">
            <w:pPr>
              <w:textAlignment w:val="center"/>
              <w:rPr>
                <w:rFonts w:hint="default" w:ascii="Times New Roman" w:hAnsi="Times New Roman" w:eastAsia="宋体" w:cs="Times New Roman"/>
                <w:color w:val="auto"/>
                <w:sz w:val="21"/>
                <w:szCs w:val="21"/>
                <w:lang w:val="en-US" w:eastAsia="zh-CN" w:bidi="ar"/>
              </w:rPr>
            </w:pPr>
            <w:r>
              <w:rPr>
                <w:rFonts w:hint="eastAsia" w:ascii="Times New Roman" w:hAnsi="Times New Roman" w:cs="Times New Roman"/>
                <w:color w:val="auto"/>
                <w:sz w:val="21"/>
                <w:szCs w:val="21"/>
                <w:lang w:val="en-US" w:eastAsia="zh-CN" w:bidi="ar"/>
              </w:rPr>
              <w:t xml:space="preserve">Company </w:t>
            </w:r>
            <w:r>
              <w:rPr>
                <w:rFonts w:hint="eastAsia" w:cs="Times New Roman"/>
                <w:color w:val="auto"/>
                <w:sz w:val="21"/>
                <w:szCs w:val="21"/>
                <w:lang w:val="en-US" w:eastAsia="zh-CN" w:bidi="ar"/>
              </w:rPr>
              <w:t>B</w:t>
            </w:r>
          </w:p>
        </w:tc>
        <w:tc>
          <w:tcPr>
            <w:tcW w:w="794" w:type="pct"/>
            <w:tcBorders>
              <w:top w:val="single" w:color="000000" w:sz="4" w:space="0"/>
              <w:left w:val="single" w:color="000000" w:sz="4" w:space="0"/>
              <w:right w:val="single" w:color="000000" w:sz="4" w:space="0"/>
            </w:tcBorders>
            <w:shd w:val="clear" w:color="auto" w:fill="auto"/>
            <w:noWrap/>
            <w:vAlign w:val="center"/>
          </w:tcPr>
          <w:p w14:paraId="5A83CBF0">
            <w:pPr>
              <w:textAlignment w:val="center"/>
              <w:rPr>
                <w:rFonts w:hint="eastAsia" w:ascii="Times New Roman" w:hAnsi="Times New Roman" w:eastAsia="宋体" w:cs="Times New Roman"/>
                <w:color w:val="auto"/>
                <w:sz w:val="21"/>
                <w:szCs w:val="21"/>
                <w:lang w:val="en-US" w:eastAsia="zh-CN"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C652A">
            <w:pPr>
              <w:textAlignment w:val="center"/>
              <w:rPr>
                <w:rFonts w:hint="default" w:ascii="Times New Roman" w:hAnsi="Times New Roman" w:eastAsia="宋体" w:cs="Times New Roman"/>
                <w:color w:val="auto"/>
                <w:sz w:val="21"/>
                <w:szCs w:val="21"/>
                <w:lang w:val="en-US" w:eastAsia="zh-CN" w:bidi="ar"/>
              </w:rPr>
            </w:pPr>
            <w:r>
              <w:rPr>
                <w:rFonts w:hint="eastAsia" w:ascii="Times New Roman" w:hAnsi="Times New Roman" w:eastAsia="宋体" w:cs="Times New Roman"/>
                <w:color w:val="auto"/>
                <w:sz w:val="21"/>
                <w:szCs w:val="21"/>
                <w:lang w:val="en-US" w:eastAsia="zh-CN" w:bidi="ar"/>
              </w:rPr>
              <w:t>Bin index</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BE6D1">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w:t>
            </w: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8605F">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53E13">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3</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EBBA8">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4602C">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5</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66045">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6</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51F3F">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7</w:t>
            </w:r>
          </w:p>
        </w:tc>
      </w:tr>
      <w:tr w14:paraId="7E84011E">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38C035A9">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49D0712C">
            <w:pPr>
              <w:textAlignment w:val="center"/>
              <w:rPr>
                <w:rFonts w:hint="default" w:ascii="Times New Roman" w:hAnsi="Times New Roman" w:eastAsia="宋体" w:cs="Times New Roman"/>
                <w:color w:val="auto"/>
                <w:sz w:val="21"/>
                <w:szCs w:val="21"/>
                <w:lang w:val="en-US"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1, beam steering rang 1</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64DA4">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default" w:ascii="Times New Roman" w:hAnsi="Times New Roman" w:eastAsia="宋体" w:cs="Times New Roman"/>
                <w:color w:val="auto"/>
                <w:sz w:val="21"/>
                <w:szCs w:val="21"/>
                <w:lang w:bidi="ar"/>
              </w:rPr>
              <w:t>Rect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46504">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A0972">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774AC">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4A248">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AAC2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6B79E">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504D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156DA3F4">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7C1190DC">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471B92F1">
            <w:pPr>
              <w:textAlignment w:val="center"/>
              <w:rPr>
                <w:rFonts w:hint="default" w:ascii="Times New Roman" w:hAnsi="Times New Roman" w:eastAsia="宋体" w:cs="Times New Roman"/>
                <w:color w:val="auto"/>
                <w:sz w:val="21"/>
                <w:szCs w:val="21"/>
                <w:lang w:val="en-US"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1, beam steering rang 2</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52E62">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default" w:ascii="Times New Roman" w:hAnsi="Times New Roman" w:eastAsia="宋体" w:cs="Times New Roman"/>
                <w:color w:val="auto"/>
                <w:sz w:val="21"/>
                <w:szCs w:val="21"/>
                <w:lang w:bidi="ar"/>
              </w:rPr>
              <w:t>Rect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E254B">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B696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5D0D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0C6C6">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7559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6B0EE">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DD012">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133CDCA4">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7DE1EA6C">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411F4273">
            <w:pPr>
              <w:textAlignment w:val="center"/>
              <w:rPr>
                <w:rFonts w:hint="default" w:ascii="Times New Roman" w:hAnsi="Times New Roman" w:eastAsia="宋体" w:cs="Times New Roman"/>
                <w:color w:val="auto"/>
                <w:sz w:val="21"/>
                <w:szCs w:val="21"/>
                <w:lang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2, beam steering rang 1</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9A35F">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default" w:ascii="Times New Roman" w:hAnsi="Times New Roman" w:eastAsia="宋体" w:cs="Times New Roman"/>
                <w:color w:val="auto"/>
                <w:sz w:val="21"/>
                <w:szCs w:val="21"/>
                <w:lang w:bidi="ar"/>
              </w:rPr>
              <w:t>Rect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818CA">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ACF3C">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BDFD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C26BA">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7415A">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15723">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9B1AB">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08A91487">
        <w:tblPrEx>
          <w:tblCellMar>
            <w:top w:w="0" w:type="dxa"/>
            <w:left w:w="108" w:type="dxa"/>
            <w:bottom w:w="0" w:type="dxa"/>
            <w:right w:w="108" w:type="dxa"/>
          </w:tblCellMar>
        </w:tblPrEx>
        <w:trPr>
          <w:trHeight w:val="1231" w:hRule="atLeast"/>
        </w:trPr>
        <w:tc>
          <w:tcPr>
            <w:tcW w:w="658" w:type="pct"/>
            <w:vMerge w:val="continue"/>
            <w:tcBorders>
              <w:left w:val="single" w:color="000000" w:sz="4" w:space="0"/>
              <w:right w:val="single" w:color="000000" w:sz="4" w:space="0"/>
            </w:tcBorders>
            <w:shd w:val="clear" w:color="auto" w:fill="auto"/>
            <w:noWrap/>
            <w:vAlign w:val="center"/>
          </w:tcPr>
          <w:p w14:paraId="5B3D9700">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724B00F7">
            <w:pPr>
              <w:textAlignment w:val="center"/>
              <w:rPr>
                <w:rFonts w:hint="default" w:ascii="Times New Roman" w:hAnsi="Times New Roman" w:eastAsia="宋体" w:cs="Times New Roman"/>
                <w:color w:val="auto"/>
                <w:sz w:val="21"/>
                <w:szCs w:val="21"/>
                <w:lang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2, beam steering rang 2</w:t>
            </w:r>
          </w:p>
        </w:tc>
        <w:tc>
          <w:tcPr>
            <w:tcW w:w="980" w:type="pct"/>
            <w:tcBorders>
              <w:top w:val="single" w:color="000000" w:sz="4" w:space="0"/>
              <w:left w:val="single" w:color="000000" w:sz="4" w:space="0"/>
              <w:right w:val="single" w:color="000000" w:sz="4" w:space="0"/>
            </w:tcBorders>
            <w:shd w:val="clear" w:color="auto" w:fill="auto"/>
            <w:noWrap/>
            <w:vAlign w:val="center"/>
          </w:tcPr>
          <w:p w14:paraId="1A520FCC">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default" w:ascii="Times New Roman" w:hAnsi="Times New Roman" w:eastAsia="宋体" w:cs="Times New Roman"/>
                <w:color w:val="auto"/>
                <w:sz w:val="21"/>
                <w:szCs w:val="21"/>
                <w:lang w:bidi="ar"/>
              </w:rPr>
              <w:t>Rect Ref</w:t>
            </w:r>
          </w:p>
        </w:tc>
        <w:tc>
          <w:tcPr>
            <w:tcW w:w="392" w:type="pct"/>
            <w:tcBorders>
              <w:top w:val="single" w:color="000000" w:sz="4" w:space="0"/>
              <w:left w:val="single" w:color="000000" w:sz="4" w:space="0"/>
              <w:right w:val="single" w:color="000000" w:sz="4" w:space="0"/>
            </w:tcBorders>
            <w:shd w:val="clear" w:color="auto" w:fill="auto"/>
            <w:noWrap/>
            <w:vAlign w:val="center"/>
          </w:tcPr>
          <w:p w14:paraId="58EAB8E6">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right w:val="single" w:color="000000" w:sz="4" w:space="0"/>
            </w:tcBorders>
            <w:shd w:val="clear" w:color="auto" w:fill="auto"/>
            <w:noWrap/>
            <w:vAlign w:val="center"/>
          </w:tcPr>
          <w:p w14:paraId="1FC1C5B8">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right w:val="single" w:color="000000" w:sz="4" w:space="0"/>
            </w:tcBorders>
            <w:shd w:val="clear" w:color="auto" w:fill="auto"/>
            <w:noWrap/>
            <w:vAlign w:val="center"/>
          </w:tcPr>
          <w:p w14:paraId="547D5B99">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right w:val="single" w:color="000000" w:sz="4" w:space="0"/>
            </w:tcBorders>
            <w:shd w:val="clear" w:color="auto" w:fill="auto"/>
            <w:noWrap/>
            <w:vAlign w:val="center"/>
          </w:tcPr>
          <w:p w14:paraId="2D9E60EC">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right w:val="single" w:color="000000" w:sz="4" w:space="0"/>
            </w:tcBorders>
            <w:shd w:val="clear" w:color="auto" w:fill="auto"/>
            <w:noWrap/>
            <w:vAlign w:val="center"/>
          </w:tcPr>
          <w:p w14:paraId="6935B4F4">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right w:val="single" w:color="000000" w:sz="4" w:space="0"/>
            </w:tcBorders>
            <w:shd w:val="clear" w:color="auto" w:fill="auto"/>
            <w:noWrap/>
            <w:vAlign w:val="center"/>
          </w:tcPr>
          <w:p w14:paraId="7F6B8803">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0394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bl>
    <w:p w14:paraId="079E2D36">
      <w:pPr>
        <w:pStyle w:val="134"/>
        <w:numPr>
          <w:ilvl w:val="0"/>
          <w:numId w:val="0"/>
        </w:numPr>
        <w:overflowPunct/>
        <w:autoSpaceDE/>
        <w:autoSpaceDN/>
        <w:adjustRightInd/>
        <w:spacing w:after="120"/>
        <w:ind w:left="1080" w:leftChars="0"/>
        <w:textAlignment w:val="auto"/>
        <w:rPr>
          <w:rFonts w:hint="eastAsia"/>
          <w:iCs/>
          <w:color w:val="auto"/>
          <w:highlight w:val="none"/>
          <w:lang w:val="en-US" w:eastAsia="zh-CN"/>
        </w:rPr>
      </w:pPr>
    </w:p>
    <w:p w14:paraId="7EEBC545">
      <w:pPr>
        <w:pStyle w:val="134"/>
        <w:numPr>
          <w:ilvl w:val="0"/>
          <w:numId w:val="0"/>
        </w:numPr>
        <w:overflowPunct/>
        <w:autoSpaceDE/>
        <w:autoSpaceDN/>
        <w:adjustRightInd/>
        <w:spacing w:after="120"/>
        <w:ind w:left="1080" w:leftChars="0"/>
        <w:textAlignment w:val="auto"/>
        <w:rPr>
          <w:rFonts w:hint="eastAsia"/>
          <w:iCs/>
          <w:color w:val="auto"/>
          <w:highlight w:val="none"/>
          <w:lang w:val="en-US" w:eastAsia="zh-CN"/>
        </w:rPr>
      </w:pPr>
    </w:p>
    <w:tbl>
      <w:tblPr>
        <w:tblStyle w:val="53"/>
        <w:tblW w:w="4991" w:type="pct"/>
        <w:tblInd w:w="0" w:type="dxa"/>
        <w:tblLayout w:type="fixed"/>
        <w:tblCellMar>
          <w:top w:w="0" w:type="dxa"/>
          <w:left w:w="108" w:type="dxa"/>
          <w:bottom w:w="0" w:type="dxa"/>
          <w:right w:w="108" w:type="dxa"/>
        </w:tblCellMar>
      </w:tblPr>
      <w:tblGrid>
        <w:gridCol w:w="1371"/>
        <w:gridCol w:w="1653"/>
        <w:gridCol w:w="2040"/>
        <w:gridCol w:w="816"/>
        <w:gridCol w:w="693"/>
        <w:gridCol w:w="745"/>
        <w:gridCol w:w="743"/>
        <w:gridCol w:w="695"/>
        <w:gridCol w:w="745"/>
        <w:gridCol w:w="899"/>
      </w:tblGrid>
      <w:tr w14:paraId="72610903">
        <w:tblPrEx>
          <w:tblCellMar>
            <w:top w:w="0" w:type="dxa"/>
            <w:left w:w="108" w:type="dxa"/>
            <w:bottom w:w="0" w:type="dxa"/>
            <w:right w:w="108" w:type="dxa"/>
          </w:tblCellMar>
        </w:tblPrEx>
        <w:trPr>
          <w:trHeight w:val="270" w:hRule="atLeast"/>
        </w:trPr>
        <w:tc>
          <w:tcPr>
            <w:tcW w:w="658" w:type="pct"/>
            <w:vMerge w:val="restart"/>
            <w:tcBorders>
              <w:top w:val="single" w:color="000000" w:sz="4" w:space="0"/>
              <w:left w:val="single" w:color="000000" w:sz="4" w:space="0"/>
              <w:right w:val="single" w:color="000000" w:sz="4" w:space="0"/>
            </w:tcBorders>
            <w:shd w:val="clear" w:color="auto" w:fill="auto"/>
            <w:noWrap/>
            <w:vAlign w:val="center"/>
          </w:tcPr>
          <w:p w14:paraId="1761A07F">
            <w:pPr>
              <w:textAlignment w:val="center"/>
              <w:rPr>
                <w:rFonts w:hint="default" w:ascii="Times New Roman" w:hAnsi="Times New Roman" w:eastAsia="宋体" w:cs="Times New Roman"/>
                <w:color w:val="auto"/>
                <w:sz w:val="21"/>
                <w:szCs w:val="21"/>
                <w:lang w:val="en-US" w:eastAsia="zh-CN" w:bidi="ar"/>
              </w:rPr>
            </w:pPr>
            <w:r>
              <w:rPr>
                <w:rFonts w:hint="eastAsia" w:ascii="Times New Roman" w:hAnsi="Times New Roman" w:cs="Times New Roman"/>
                <w:color w:val="auto"/>
                <w:sz w:val="21"/>
                <w:szCs w:val="21"/>
                <w:lang w:val="en-US" w:eastAsia="zh-CN" w:bidi="ar"/>
              </w:rPr>
              <w:t>Company A</w:t>
            </w:r>
          </w:p>
        </w:tc>
        <w:tc>
          <w:tcPr>
            <w:tcW w:w="794" w:type="pct"/>
            <w:tcBorders>
              <w:top w:val="single" w:color="000000" w:sz="4" w:space="0"/>
              <w:left w:val="single" w:color="000000" w:sz="4" w:space="0"/>
              <w:right w:val="single" w:color="000000" w:sz="4" w:space="0"/>
            </w:tcBorders>
            <w:shd w:val="clear" w:color="auto" w:fill="auto"/>
            <w:noWrap/>
            <w:vAlign w:val="center"/>
          </w:tcPr>
          <w:p w14:paraId="16453091">
            <w:pPr>
              <w:textAlignment w:val="center"/>
              <w:rPr>
                <w:rFonts w:hint="eastAsia" w:ascii="Times New Roman" w:hAnsi="Times New Roman" w:eastAsia="宋体" w:cs="Times New Roman"/>
                <w:color w:val="auto"/>
                <w:sz w:val="21"/>
                <w:szCs w:val="21"/>
                <w:lang w:val="en-US" w:eastAsia="zh-CN"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CB753">
            <w:pPr>
              <w:textAlignment w:val="center"/>
              <w:rPr>
                <w:rFonts w:hint="default" w:ascii="Times New Roman" w:hAnsi="Times New Roman" w:eastAsia="宋体" w:cs="Times New Roman"/>
                <w:color w:val="auto"/>
                <w:sz w:val="21"/>
                <w:szCs w:val="21"/>
                <w:lang w:val="en-US" w:eastAsia="zh-CN" w:bidi="ar"/>
              </w:rPr>
            </w:pPr>
            <w:r>
              <w:rPr>
                <w:rFonts w:hint="eastAsia" w:ascii="Times New Roman" w:hAnsi="Times New Roman" w:eastAsia="宋体" w:cs="Times New Roman"/>
                <w:color w:val="auto"/>
                <w:sz w:val="21"/>
                <w:szCs w:val="21"/>
                <w:lang w:val="en-US" w:eastAsia="zh-CN" w:bidi="ar"/>
              </w:rPr>
              <w:t>Bin index</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6D716">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w:t>
            </w: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28690">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1B9F4">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3</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39AF3">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BDA43">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5</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DB311">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6</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33A42">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7</w:t>
            </w:r>
          </w:p>
        </w:tc>
      </w:tr>
      <w:tr w14:paraId="59AE0E9E">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53B30DC6">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1DC9DEA5">
            <w:pPr>
              <w:textAlignment w:val="center"/>
              <w:rPr>
                <w:rFonts w:hint="default" w:ascii="Times New Roman" w:hAnsi="Times New Roman" w:eastAsia="宋体" w:cs="Times New Roman"/>
                <w:color w:val="auto"/>
                <w:sz w:val="21"/>
                <w:szCs w:val="21"/>
                <w:lang w:val="en-US"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1, beam steering rang 1</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FC1AE">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eastAsia" w:cs="Times New Roman"/>
                <w:color w:val="auto"/>
                <w:sz w:val="21"/>
                <w:szCs w:val="21"/>
                <w:lang w:val="en-US" w:eastAsia="zh-CN" w:bidi="ar"/>
              </w:rPr>
              <w:t>ellipse</w:t>
            </w:r>
            <w:r>
              <w:rPr>
                <w:rFonts w:hint="default" w:ascii="Times New Roman" w:hAnsi="Times New Roman" w:eastAsia="宋体" w:cs="Times New Roman"/>
                <w:color w:val="auto"/>
                <w:sz w:val="21"/>
                <w:szCs w:val="21"/>
                <w:lang w:bidi="ar"/>
              </w:rPr>
              <w:t xml:space="preserve">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60099">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1F0A2">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31EAB">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7074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94793">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AC7A5">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3A08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6C51B918">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4A61C5C9">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3DC503B9">
            <w:pPr>
              <w:textAlignment w:val="center"/>
              <w:rPr>
                <w:rFonts w:hint="default" w:ascii="Times New Roman" w:hAnsi="Times New Roman" w:eastAsia="宋体" w:cs="Times New Roman"/>
                <w:color w:val="auto"/>
                <w:sz w:val="21"/>
                <w:szCs w:val="21"/>
                <w:lang w:val="en-US"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1, beam steering rang 2</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8815A">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eastAsia" w:cs="Times New Roman"/>
                <w:color w:val="auto"/>
                <w:sz w:val="21"/>
                <w:szCs w:val="21"/>
                <w:lang w:val="en-US" w:eastAsia="zh-CN" w:bidi="ar"/>
              </w:rPr>
              <w:t>ellipse</w:t>
            </w:r>
            <w:r>
              <w:rPr>
                <w:rFonts w:hint="default" w:ascii="Times New Roman" w:hAnsi="Times New Roman" w:eastAsia="宋体" w:cs="Times New Roman"/>
                <w:color w:val="auto"/>
                <w:sz w:val="21"/>
                <w:szCs w:val="21"/>
                <w:lang w:bidi="ar"/>
              </w:rPr>
              <w:t xml:space="preserve">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D01F9">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15532">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0F356">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F7FD9">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9FA5D">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76B7D">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2E4B8">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773B9912">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717FD00D">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18F9F37A">
            <w:pPr>
              <w:textAlignment w:val="center"/>
              <w:rPr>
                <w:rFonts w:hint="default" w:ascii="Times New Roman" w:hAnsi="Times New Roman" w:eastAsia="宋体" w:cs="Times New Roman"/>
                <w:color w:val="auto"/>
                <w:sz w:val="21"/>
                <w:szCs w:val="21"/>
                <w:lang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2, beam steering rang 1</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57CA1">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eastAsia" w:cs="Times New Roman"/>
                <w:color w:val="auto"/>
                <w:sz w:val="21"/>
                <w:szCs w:val="21"/>
                <w:lang w:val="en-US" w:eastAsia="zh-CN" w:bidi="ar"/>
              </w:rPr>
              <w:t>ellipse</w:t>
            </w:r>
            <w:r>
              <w:rPr>
                <w:rFonts w:hint="default" w:ascii="Times New Roman" w:hAnsi="Times New Roman" w:eastAsia="宋体" w:cs="Times New Roman"/>
                <w:color w:val="auto"/>
                <w:sz w:val="21"/>
                <w:szCs w:val="21"/>
                <w:lang w:bidi="ar"/>
              </w:rPr>
              <w:t xml:space="preserve">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22F8B">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95FD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7C20C">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5250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F2A8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A453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B3C52">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48A214FD">
        <w:tblPrEx>
          <w:tblCellMar>
            <w:top w:w="0" w:type="dxa"/>
            <w:left w:w="108" w:type="dxa"/>
            <w:bottom w:w="0" w:type="dxa"/>
            <w:right w:w="108" w:type="dxa"/>
          </w:tblCellMar>
        </w:tblPrEx>
        <w:trPr>
          <w:trHeight w:val="1231" w:hRule="atLeast"/>
        </w:trPr>
        <w:tc>
          <w:tcPr>
            <w:tcW w:w="658" w:type="pct"/>
            <w:vMerge w:val="continue"/>
            <w:tcBorders>
              <w:left w:val="single" w:color="000000" w:sz="4" w:space="0"/>
              <w:right w:val="single" w:color="000000" w:sz="4" w:space="0"/>
            </w:tcBorders>
            <w:shd w:val="clear" w:color="auto" w:fill="auto"/>
            <w:noWrap/>
            <w:vAlign w:val="center"/>
          </w:tcPr>
          <w:p w14:paraId="43F50B15">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24ECBD6F">
            <w:pPr>
              <w:textAlignment w:val="center"/>
              <w:rPr>
                <w:rFonts w:hint="default" w:ascii="Times New Roman" w:hAnsi="Times New Roman" w:eastAsia="宋体" w:cs="Times New Roman"/>
                <w:color w:val="auto"/>
                <w:sz w:val="21"/>
                <w:szCs w:val="21"/>
                <w:lang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2, beam steering rang 2</w:t>
            </w:r>
          </w:p>
        </w:tc>
        <w:tc>
          <w:tcPr>
            <w:tcW w:w="980" w:type="pct"/>
            <w:tcBorders>
              <w:top w:val="single" w:color="000000" w:sz="4" w:space="0"/>
              <w:left w:val="single" w:color="000000" w:sz="4" w:space="0"/>
              <w:right w:val="single" w:color="000000" w:sz="4" w:space="0"/>
            </w:tcBorders>
            <w:shd w:val="clear" w:color="auto" w:fill="auto"/>
            <w:noWrap/>
            <w:vAlign w:val="center"/>
          </w:tcPr>
          <w:p w14:paraId="2725404F">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eastAsia" w:cs="Times New Roman"/>
                <w:color w:val="auto"/>
                <w:sz w:val="21"/>
                <w:szCs w:val="21"/>
                <w:lang w:val="en-US" w:eastAsia="zh-CN" w:bidi="ar"/>
              </w:rPr>
              <w:t>ellipse</w:t>
            </w:r>
            <w:r>
              <w:rPr>
                <w:rFonts w:hint="default" w:ascii="Times New Roman" w:hAnsi="Times New Roman" w:eastAsia="宋体" w:cs="Times New Roman"/>
                <w:color w:val="auto"/>
                <w:sz w:val="21"/>
                <w:szCs w:val="21"/>
                <w:lang w:bidi="ar"/>
              </w:rPr>
              <w:t xml:space="preserve"> Ref</w:t>
            </w:r>
          </w:p>
        </w:tc>
        <w:tc>
          <w:tcPr>
            <w:tcW w:w="392" w:type="pct"/>
            <w:tcBorders>
              <w:top w:val="single" w:color="000000" w:sz="4" w:space="0"/>
              <w:left w:val="single" w:color="000000" w:sz="4" w:space="0"/>
              <w:right w:val="single" w:color="000000" w:sz="4" w:space="0"/>
            </w:tcBorders>
            <w:shd w:val="clear" w:color="auto" w:fill="auto"/>
            <w:noWrap/>
            <w:vAlign w:val="center"/>
          </w:tcPr>
          <w:p w14:paraId="74E94796">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right w:val="single" w:color="000000" w:sz="4" w:space="0"/>
            </w:tcBorders>
            <w:shd w:val="clear" w:color="auto" w:fill="auto"/>
            <w:noWrap/>
            <w:vAlign w:val="center"/>
          </w:tcPr>
          <w:p w14:paraId="1B5AEF42">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right w:val="single" w:color="000000" w:sz="4" w:space="0"/>
            </w:tcBorders>
            <w:shd w:val="clear" w:color="auto" w:fill="auto"/>
            <w:noWrap/>
            <w:vAlign w:val="center"/>
          </w:tcPr>
          <w:p w14:paraId="3C05FF71">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right w:val="single" w:color="000000" w:sz="4" w:space="0"/>
            </w:tcBorders>
            <w:shd w:val="clear" w:color="auto" w:fill="auto"/>
            <w:noWrap/>
            <w:vAlign w:val="center"/>
          </w:tcPr>
          <w:p w14:paraId="3A771157">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right w:val="single" w:color="000000" w:sz="4" w:space="0"/>
            </w:tcBorders>
            <w:shd w:val="clear" w:color="auto" w:fill="auto"/>
            <w:noWrap/>
            <w:vAlign w:val="center"/>
          </w:tcPr>
          <w:p w14:paraId="435E813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right w:val="single" w:color="000000" w:sz="4" w:space="0"/>
            </w:tcBorders>
            <w:shd w:val="clear" w:color="auto" w:fill="auto"/>
            <w:noWrap/>
            <w:vAlign w:val="center"/>
          </w:tcPr>
          <w:p w14:paraId="2B22DAE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80BE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77FAC6E8">
        <w:tblPrEx>
          <w:tblCellMar>
            <w:top w:w="0" w:type="dxa"/>
            <w:left w:w="108" w:type="dxa"/>
            <w:bottom w:w="0" w:type="dxa"/>
            <w:right w:w="108" w:type="dxa"/>
          </w:tblCellMar>
        </w:tblPrEx>
        <w:trPr>
          <w:trHeight w:val="270" w:hRule="atLeast"/>
        </w:trPr>
        <w:tc>
          <w:tcPr>
            <w:tcW w:w="658" w:type="pct"/>
            <w:vMerge w:val="restart"/>
            <w:tcBorders>
              <w:top w:val="single" w:color="000000" w:sz="4" w:space="0"/>
              <w:left w:val="single" w:color="000000" w:sz="4" w:space="0"/>
              <w:right w:val="single" w:color="000000" w:sz="4" w:space="0"/>
            </w:tcBorders>
            <w:shd w:val="clear" w:color="auto" w:fill="auto"/>
            <w:noWrap/>
            <w:vAlign w:val="center"/>
          </w:tcPr>
          <w:p w14:paraId="6D51DF43">
            <w:pPr>
              <w:textAlignment w:val="center"/>
              <w:rPr>
                <w:rFonts w:hint="default" w:ascii="Times New Roman" w:hAnsi="Times New Roman" w:eastAsia="宋体" w:cs="Times New Roman"/>
                <w:color w:val="auto"/>
                <w:sz w:val="21"/>
                <w:szCs w:val="21"/>
                <w:lang w:val="en-US" w:eastAsia="zh-CN" w:bidi="ar"/>
              </w:rPr>
            </w:pPr>
            <w:r>
              <w:rPr>
                <w:rFonts w:hint="eastAsia" w:ascii="Times New Roman" w:hAnsi="Times New Roman" w:cs="Times New Roman"/>
                <w:color w:val="auto"/>
                <w:sz w:val="21"/>
                <w:szCs w:val="21"/>
                <w:lang w:val="en-US" w:eastAsia="zh-CN" w:bidi="ar"/>
              </w:rPr>
              <w:t xml:space="preserve">Company </w:t>
            </w:r>
            <w:r>
              <w:rPr>
                <w:rFonts w:hint="eastAsia" w:cs="Times New Roman"/>
                <w:color w:val="auto"/>
                <w:sz w:val="21"/>
                <w:szCs w:val="21"/>
                <w:lang w:val="en-US" w:eastAsia="zh-CN" w:bidi="ar"/>
              </w:rPr>
              <w:t>B</w:t>
            </w:r>
          </w:p>
        </w:tc>
        <w:tc>
          <w:tcPr>
            <w:tcW w:w="794" w:type="pct"/>
            <w:tcBorders>
              <w:top w:val="single" w:color="000000" w:sz="4" w:space="0"/>
              <w:left w:val="single" w:color="000000" w:sz="4" w:space="0"/>
              <w:right w:val="single" w:color="000000" w:sz="4" w:space="0"/>
            </w:tcBorders>
            <w:shd w:val="clear" w:color="auto" w:fill="auto"/>
            <w:noWrap/>
            <w:vAlign w:val="center"/>
          </w:tcPr>
          <w:p w14:paraId="00B30137">
            <w:pPr>
              <w:textAlignment w:val="center"/>
              <w:rPr>
                <w:rFonts w:hint="eastAsia" w:ascii="Times New Roman" w:hAnsi="Times New Roman" w:eastAsia="宋体" w:cs="Times New Roman"/>
                <w:color w:val="auto"/>
                <w:sz w:val="21"/>
                <w:szCs w:val="21"/>
                <w:lang w:val="en-US" w:eastAsia="zh-CN" w:bidi="ar"/>
              </w:rPr>
            </w:pP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69618">
            <w:pPr>
              <w:textAlignment w:val="center"/>
              <w:rPr>
                <w:rFonts w:hint="default" w:ascii="Times New Roman" w:hAnsi="Times New Roman" w:eastAsia="宋体" w:cs="Times New Roman"/>
                <w:color w:val="auto"/>
                <w:sz w:val="21"/>
                <w:szCs w:val="21"/>
                <w:lang w:val="en-US" w:eastAsia="zh-CN" w:bidi="ar"/>
              </w:rPr>
            </w:pPr>
            <w:r>
              <w:rPr>
                <w:rFonts w:hint="eastAsia" w:ascii="Times New Roman" w:hAnsi="Times New Roman" w:eastAsia="宋体" w:cs="Times New Roman"/>
                <w:color w:val="auto"/>
                <w:sz w:val="21"/>
                <w:szCs w:val="21"/>
                <w:lang w:val="en-US" w:eastAsia="zh-CN" w:bidi="ar"/>
              </w:rPr>
              <w:t>Bin index</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F888A">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w:t>
            </w: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77FA6">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82361">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3</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E8FEA">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4</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956A3">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5</w:t>
            </w: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1DE9D">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6</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F0226">
            <w:pPr>
              <w:keepNext w:val="0"/>
              <w:keepLines w:val="0"/>
              <w:widowControl/>
              <w:suppressLineNumbers w:val="0"/>
              <w:jc w:val="right"/>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7</w:t>
            </w:r>
          </w:p>
        </w:tc>
      </w:tr>
      <w:tr w14:paraId="5472E12D">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37C88042">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1548394C">
            <w:pPr>
              <w:textAlignment w:val="center"/>
              <w:rPr>
                <w:rFonts w:hint="default" w:ascii="Times New Roman" w:hAnsi="Times New Roman" w:eastAsia="宋体" w:cs="Times New Roman"/>
                <w:color w:val="auto"/>
                <w:sz w:val="21"/>
                <w:szCs w:val="21"/>
                <w:lang w:val="en-US"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1, beam steering rang 1</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92891">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eastAsia" w:cs="Times New Roman"/>
                <w:color w:val="auto"/>
                <w:sz w:val="21"/>
                <w:szCs w:val="21"/>
                <w:lang w:val="en-US" w:eastAsia="zh-CN" w:bidi="ar"/>
              </w:rPr>
              <w:t>ellipse</w:t>
            </w:r>
            <w:r>
              <w:rPr>
                <w:rFonts w:hint="default" w:ascii="Times New Roman" w:hAnsi="Times New Roman" w:eastAsia="宋体" w:cs="Times New Roman"/>
                <w:color w:val="auto"/>
                <w:sz w:val="21"/>
                <w:szCs w:val="21"/>
                <w:lang w:bidi="ar"/>
              </w:rPr>
              <w:t xml:space="preserve">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B2A3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B8C3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7D398">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9E84B">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23D8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EF5FE">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D429B">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496314E1">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56D3B6F3">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550217BC">
            <w:pPr>
              <w:textAlignment w:val="center"/>
              <w:rPr>
                <w:rFonts w:hint="default" w:ascii="Times New Roman" w:hAnsi="Times New Roman" w:eastAsia="宋体" w:cs="Times New Roman"/>
                <w:color w:val="auto"/>
                <w:sz w:val="21"/>
                <w:szCs w:val="21"/>
                <w:lang w:val="en-US"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1, beam steering rang 2</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664E1">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eastAsia" w:cs="Times New Roman"/>
                <w:color w:val="auto"/>
                <w:sz w:val="21"/>
                <w:szCs w:val="21"/>
                <w:lang w:val="en-US" w:eastAsia="zh-CN" w:bidi="ar"/>
              </w:rPr>
              <w:t>ellipse</w:t>
            </w:r>
            <w:r>
              <w:rPr>
                <w:rFonts w:hint="default" w:ascii="Times New Roman" w:hAnsi="Times New Roman" w:eastAsia="宋体" w:cs="Times New Roman"/>
                <w:color w:val="auto"/>
                <w:sz w:val="21"/>
                <w:szCs w:val="21"/>
                <w:lang w:bidi="ar"/>
              </w:rPr>
              <w:t xml:space="preserve">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0A2F0">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E1EC5">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21217">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F0F7E">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C6453">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58387">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B4AD6">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5A8A83B8">
        <w:tblPrEx>
          <w:tblCellMar>
            <w:top w:w="0" w:type="dxa"/>
            <w:left w:w="108" w:type="dxa"/>
            <w:bottom w:w="0" w:type="dxa"/>
            <w:right w:w="108" w:type="dxa"/>
          </w:tblCellMar>
        </w:tblPrEx>
        <w:trPr>
          <w:trHeight w:val="270" w:hRule="atLeast"/>
        </w:trPr>
        <w:tc>
          <w:tcPr>
            <w:tcW w:w="658" w:type="pct"/>
            <w:vMerge w:val="continue"/>
            <w:tcBorders>
              <w:left w:val="single" w:color="000000" w:sz="4" w:space="0"/>
              <w:right w:val="single" w:color="000000" w:sz="4" w:space="0"/>
            </w:tcBorders>
            <w:shd w:val="clear" w:color="auto" w:fill="auto"/>
            <w:noWrap/>
            <w:vAlign w:val="center"/>
          </w:tcPr>
          <w:p w14:paraId="51A0B436">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4D4D75BA">
            <w:pPr>
              <w:textAlignment w:val="center"/>
              <w:rPr>
                <w:rFonts w:hint="default" w:ascii="Times New Roman" w:hAnsi="Times New Roman" w:eastAsia="宋体" w:cs="Times New Roman"/>
                <w:color w:val="auto"/>
                <w:sz w:val="21"/>
                <w:szCs w:val="21"/>
                <w:lang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2, beam steering rang 1</w:t>
            </w:r>
          </w:p>
        </w:tc>
        <w:tc>
          <w:tcPr>
            <w:tcW w:w="9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48C50">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eastAsia" w:cs="Times New Roman"/>
                <w:color w:val="auto"/>
                <w:sz w:val="21"/>
                <w:szCs w:val="21"/>
                <w:lang w:val="en-US" w:eastAsia="zh-CN" w:bidi="ar"/>
              </w:rPr>
              <w:t>ellipse</w:t>
            </w:r>
            <w:r>
              <w:rPr>
                <w:rFonts w:hint="default" w:ascii="Times New Roman" w:hAnsi="Times New Roman" w:eastAsia="宋体" w:cs="Times New Roman"/>
                <w:color w:val="auto"/>
                <w:sz w:val="21"/>
                <w:szCs w:val="21"/>
                <w:lang w:bidi="ar"/>
              </w:rPr>
              <w:t xml:space="preserve"> Ref</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9763B">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88105">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EA03B">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98453">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DD1E1">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362F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460D4">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r w14:paraId="0737F802">
        <w:tblPrEx>
          <w:tblCellMar>
            <w:top w:w="0" w:type="dxa"/>
            <w:left w:w="108" w:type="dxa"/>
            <w:bottom w:w="0" w:type="dxa"/>
            <w:right w:w="108" w:type="dxa"/>
          </w:tblCellMar>
        </w:tblPrEx>
        <w:trPr>
          <w:trHeight w:val="1231" w:hRule="atLeast"/>
        </w:trPr>
        <w:tc>
          <w:tcPr>
            <w:tcW w:w="658" w:type="pct"/>
            <w:vMerge w:val="continue"/>
            <w:tcBorders>
              <w:left w:val="single" w:color="000000" w:sz="4" w:space="0"/>
              <w:right w:val="single" w:color="000000" w:sz="4" w:space="0"/>
            </w:tcBorders>
            <w:shd w:val="clear" w:color="auto" w:fill="auto"/>
            <w:noWrap/>
            <w:vAlign w:val="center"/>
          </w:tcPr>
          <w:p w14:paraId="506C910E">
            <w:pPr>
              <w:textAlignment w:val="center"/>
              <w:rPr>
                <w:rFonts w:hint="eastAsia" w:ascii="Times New Roman" w:hAnsi="Times New Roman" w:eastAsia="宋体" w:cs="Times New Roman"/>
                <w:color w:val="auto"/>
                <w:sz w:val="21"/>
                <w:szCs w:val="21"/>
                <w:lang w:val="en-US" w:eastAsia="zh-CN" w:bidi="ar"/>
              </w:rPr>
            </w:pPr>
          </w:p>
        </w:tc>
        <w:tc>
          <w:tcPr>
            <w:tcW w:w="794" w:type="pct"/>
            <w:tcBorders>
              <w:top w:val="single" w:color="000000" w:sz="4" w:space="0"/>
              <w:left w:val="single" w:color="000000" w:sz="4" w:space="0"/>
              <w:right w:val="single" w:color="000000" w:sz="4" w:space="0"/>
            </w:tcBorders>
            <w:shd w:val="clear" w:color="auto" w:fill="auto"/>
            <w:noWrap/>
            <w:vAlign w:val="center"/>
          </w:tcPr>
          <w:p w14:paraId="357BE7BD">
            <w:pPr>
              <w:textAlignment w:val="center"/>
              <w:rPr>
                <w:rFonts w:hint="default" w:ascii="Times New Roman" w:hAnsi="Times New Roman" w:eastAsia="宋体" w:cs="Times New Roman"/>
                <w:color w:val="auto"/>
                <w:sz w:val="21"/>
                <w:szCs w:val="21"/>
                <w:lang w:bidi="ar"/>
              </w:rPr>
            </w:pPr>
            <w:r>
              <w:rPr>
                <w:rFonts w:hint="eastAsia" w:ascii="Times New Roman" w:hAnsi="Times New Roman" w:eastAsia="宋体" w:cs="Times New Roman"/>
                <w:color w:val="auto"/>
                <w:sz w:val="21"/>
                <w:szCs w:val="21"/>
                <w:lang w:val="en-US" w:eastAsia="zh-CN" w:bidi="ar"/>
              </w:rPr>
              <w:t xml:space="preserve">Ant </w:t>
            </w:r>
            <w:r>
              <w:rPr>
                <w:rFonts w:hint="eastAsia" w:ascii="Times New Roman" w:hAnsi="Times New Roman" w:cs="Times New Roman"/>
                <w:color w:val="auto"/>
                <w:sz w:val="21"/>
                <w:szCs w:val="21"/>
                <w:lang w:val="en-US" w:eastAsia="zh-CN" w:bidi="ar"/>
              </w:rPr>
              <w:t>configuration 2, beam steering rang 2</w:t>
            </w:r>
          </w:p>
        </w:tc>
        <w:tc>
          <w:tcPr>
            <w:tcW w:w="980" w:type="pct"/>
            <w:tcBorders>
              <w:top w:val="single" w:color="000000" w:sz="4" w:space="0"/>
              <w:left w:val="single" w:color="000000" w:sz="4" w:space="0"/>
              <w:right w:val="single" w:color="000000" w:sz="4" w:space="0"/>
            </w:tcBorders>
            <w:shd w:val="clear" w:color="auto" w:fill="auto"/>
            <w:noWrap/>
            <w:vAlign w:val="center"/>
          </w:tcPr>
          <w:p w14:paraId="4DEF52E2">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eastAsia" w:cs="Times New Roman"/>
                <w:color w:val="auto"/>
                <w:sz w:val="21"/>
                <w:szCs w:val="21"/>
                <w:lang w:val="en-US" w:eastAsia="zh-CN" w:bidi="ar"/>
              </w:rPr>
              <w:t>ellipse</w:t>
            </w:r>
            <w:r>
              <w:rPr>
                <w:rFonts w:hint="default" w:ascii="Times New Roman" w:hAnsi="Times New Roman" w:eastAsia="宋体" w:cs="Times New Roman"/>
                <w:color w:val="auto"/>
                <w:sz w:val="21"/>
                <w:szCs w:val="21"/>
                <w:lang w:bidi="ar"/>
              </w:rPr>
              <w:t xml:space="preserve"> Ref</w:t>
            </w:r>
          </w:p>
        </w:tc>
        <w:tc>
          <w:tcPr>
            <w:tcW w:w="392" w:type="pct"/>
            <w:tcBorders>
              <w:top w:val="single" w:color="000000" w:sz="4" w:space="0"/>
              <w:left w:val="single" w:color="000000" w:sz="4" w:space="0"/>
              <w:right w:val="single" w:color="000000" w:sz="4" w:space="0"/>
            </w:tcBorders>
            <w:shd w:val="clear" w:color="auto" w:fill="auto"/>
            <w:noWrap/>
            <w:vAlign w:val="center"/>
          </w:tcPr>
          <w:p w14:paraId="61A15361">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3" w:type="pct"/>
            <w:tcBorders>
              <w:top w:val="single" w:color="000000" w:sz="4" w:space="0"/>
              <w:left w:val="single" w:color="000000" w:sz="4" w:space="0"/>
              <w:right w:val="single" w:color="000000" w:sz="4" w:space="0"/>
            </w:tcBorders>
            <w:shd w:val="clear" w:color="auto" w:fill="auto"/>
            <w:noWrap/>
            <w:vAlign w:val="center"/>
          </w:tcPr>
          <w:p w14:paraId="7BDB856A">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right w:val="single" w:color="000000" w:sz="4" w:space="0"/>
            </w:tcBorders>
            <w:shd w:val="clear" w:color="auto" w:fill="auto"/>
            <w:noWrap/>
            <w:vAlign w:val="center"/>
          </w:tcPr>
          <w:p w14:paraId="0101A5AF">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7" w:type="pct"/>
            <w:tcBorders>
              <w:top w:val="single" w:color="000000" w:sz="4" w:space="0"/>
              <w:left w:val="single" w:color="000000" w:sz="4" w:space="0"/>
              <w:right w:val="single" w:color="000000" w:sz="4" w:space="0"/>
            </w:tcBorders>
            <w:shd w:val="clear" w:color="auto" w:fill="auto"/>
            <w:noWrap/>
            <w:vAlign w:val="center"/>
          </w:tcPr>
          <w:p w14:paraId="237686AA">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34" w:type="pct"/>
            <w:tcBorders>
              <w:top w:val="single" w:color="000000" w:sz="4" w:space="0"/>
              <w:left w:val="single" w:color="000000" w:sz="4" w:space="0"/>
              <w:right w:val="single" w:color="000000" w:sz="4" w:space="0"/>
            </w:tcBorders>
            <w:shd w:val="clear" w:color="auto" w:fill="auto"/>
            <w:noWrap/>
            <w:vAlign w:val="center"/>
          </w:tcPr>
          <w:p w14:paraId="29FF587A">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358" w:type="pct"/>
            <w:tcBorders>
              <w:top w:val="single" w:color="000000" w:sz="4" w:space="0"/>
              <w:left w:val="single" w:color="000000" w:sz="4" w:space="0"/>
              <w:right w:val="single" w:color="000000" w:sz="4" w:space="0"/>
            </w:tcBorders>
            <w:shd w:val="clear" w:color="auto" w:fill="auto"/>
            <w:noWrap/>
            <w:vAlign w:val="center"/>
          </w:tcPr>
          <w:p w14:paraId="54D9D196">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B2571">
            <w:pPr>
              <w:keepNext w:val="0"/>
              <w:keepLines w:val="0"/>
              <w:widowControl/>
              <w:suppressLineNumbers w:val="0"/>
              <w:jc w:val="right"/>
              <w:textAlignment w:val="center"/>
              <w:rPr>
                <w:rFonts w:hint="default" w:ascii="Times New Roman" w:hAnsi="Times New Roman" w:eastAsia="宋体" w:cs="Times New Roman"/>
                <w:color w:val="auto"/>
                <w:sz w:val="21"/>
                <w:szCs w:val="21"/>
              </w:rPr>
            </w:pPr>
          </w:p>
        </w:tc>
      </w:tr>
    </w:tbl>
    <w:p w14:paraId="36C08E15">
      <w:pPr>
        <w:rPr>
          <w:rFonts w:eastAsiaTheme="minorEastAsia"/>
          <w:lang w:val="en-US" w:eastAsia="zh-CN"/>
        </w:rPr>
      </w:pPr>
      <w:bookmarkStart w:id="2" w:name="_GoBack"/>
      <w:bookmarkEnd w:id="2"/>
    </w:p>
    <w:p w14:paraId="5A724BE9">
      <w:pPr>
        <w:spacing w:after="120"/>
        <w:rPr>
          <w:b/>
          <w:bCs/>
          <w:iCs/>
        </w:rPr>
      </w:pPr>
      <w:r>
        <w:rPr>
          <w:b/>
          <w:bCs/>
          <w:iCs/>
        </w:rPr>
        <w:t>Conformance testing for OTA test scope reduction:</w:t>
      </w:r>
    </w:p>
    <w:p w14:paraId="4C503326">
      <w:pPr>
        <w:rPr>
          <w:rFonts w:hint="default" w:ascii="Times New Roman" w:hAnsi="Times New Roman" w:cs="Times New Roman"/>
          <w:b/>
          <w:bCs/>
          <w:iCs/>
          <w:color w:val="auto"/>
          <w:lang w:val="en-US" w:eastAsia="zh-CN"/>
        </w:rPr>
      </w:pPr>
      <w:r>
        <w:rPr>
          <w:rFonts w:hint="default" w:ascii="Times New Roman" w:hAnsi="Times New Roman" w:cs="Times New Roman"/>
          <w:b/>
          <w:bCs/>
          <w:iCs/>
          <w:color w:val="auto"/>
          <w:lang w:val="en-US" w:eastAsia="zh-CN"/>
        </w:rPr>
        <w:t>Issue 1-1-1: test scope reduction for Tx requirement</w:t>
      </w:r>
    </w:p>
    <w:p w14:paraId="0BA2AC43">
      <w:pPr>
        <w:pStyle w:val="134"/>
        <w:numPr>
          <w:ilvl w:val="0"/>
          <w:numId w:val="17"/>
        </w:numPr>
        <w:overflowPunct/>
        <w:autoSpaceDE/>
        <w:autoSpaceDN/>
        <w:adjustRightInd/>
        <w:spacing w:after="120"/>
        <w:ind w:left="720" w:firstLineChars="0"/>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szCs w:val="24"/>
          <w:highlight w:val="none"/>
          <w:lang w:val="en-US" w:eastAsia="zh-CN"/>
        </w:rPr>
        <w:t xml:space="preserve">Agreement: </w:t>
      </w:r>
    </w:p>
    <w:p w14:paraId="51FBE960">
      <w:pPr>
        <w:pStyle w:val="134"/>
        <w:numPr>
          <w:ilvl w:val="1"/>
          <w:numId w:val="17"/>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Focus on test scope reduction for Tx IMD requirement</w:t>
      </w:r>
    </w:p>
    <w:p w14:paraId="43D2FAA7">
      <w:pPr>
        <w:pStyle w:val="134"/>
        <w:numPr>
          <w:ilvl w:val="1"/>
          <w:numId w:val="17"/>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Further discuss the applicable interference freq offset for ACLR, OBUE and spurious emission requirements;</w:t>
      </w:r>
    </w:p>
    <w:p w14:paraId="1683B84F">
      <w:pPr>
        <w:pStyle w:val="134"/>
        <w:numPr>
          <w:ilvl w:val="2"/>
          <w:numId w:val="17"/>
        </w:numPr>
        <w:overflowPunct/>
        <w:autoSpaceDE/>
        <w:autoSpaceDN/>
        <w:adjustRightInd/>
        <w:spacing w:after="120"/>
        <w:ind w:left="1860" w:leftChars="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1</w:t>
      </w:r>
      <w:r>
        <w:rPr>
          <w:rFonts w:hint="default" w:ascii="Times New Roman" w:hAnsi="Times New Roman" w:cs="Times New Roman"/>
          <w:iCs/>
          <w:color w:val="auto"/>
          <w:highlight w:val="none"/>
          <w:vertAlign w:val="superscript"/>
          <w:lang w:val="en-US" w:eastAsia="zh-CN"/>
        </w:rPr>
        <w:t>ST</w:t>
      </w:r>
      <w:r>
        <w:rPr>
          <w:rFonts w:hint="default" w:ascii="Times New Roman" w:hAnsi="Times New Roman" w:cs="Times New Roman"/>
          <w:iCs/>
          <w:color w:val="auto"/>
          <w:highlight w:val="none"/>
          <w:lang w:val="en-US" w:eastAsia="zh-CN"/>
        </w:rPr>
        <w:t xml:space="preserve"> interference freq offset for ACLR;</w:t>
      </w:r>
    </w:p>
    <w:p w14:paraId="7D824D76">
      <w:pPr>
        <w:pStyle w:val="134"/>
        <w:numPr>
          <w:ilvl w:val="2"/>
          <w:numId w:val="17"/>
        </w:numPr>
        <w:overflowPunct/>
        <w:autoSpaceDE/>
        <w:autoSpaceDN/>
        <w:adjustRightInd/>
        <w:spacing w:after="120"/>
        <w:ind w:left="1860" w:leftChars="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3</w:t>
      </w:r>
      <w:r>
        <w:rPr>
          <w:rFonts w:hint="default" w:ascii="Times New Roman" w:hAnsi="Times New Roman" w:cs="Times New Roman"/>
          <w:iCs/>
          <w:color w:val="auto"/>
          <w:highlight w:val="none"/>
          <w:vertAlign w:val="superscript"/>
          <w:lang w:val="en-US" w:eastAsia="zh-CN"/>
        </w:rPr>
        <w:t>rd</w:t>
      </w:r>
      <w:r>
        <w:rPr>
          <w:rFonts w:hint="default" w:ascii="Times New Roman" w:hAnsi="Times New Roman" w:cs="Times New Roman"/>
          <w:iCs/>
          <w:color w:val="auto"/>
          <w:highlight w:val="none"/>
          <w:lang w:val="en-US" w:eastAsia="zh-CN"/>
        </w:rPr>
        <w:t xml:space="preserve"> interference freq offset for spurious emission;</w:t>
      </w:r>
    </w:p>
    <w:p w14:paraId="0DE016A4">
      <w:pPr>
        <w:pStyle w:val="134"/>
        <w:numPr>
          <w:ilvl w:val="2"/>
          <w:numId w:val="17"/>
        </w:numPr>
        <w:overflowPunct/>
        <w:autoSpaceDE/>
        <w:autoSpaceDN/>
        <w:adjustRightInd/>
        <w:spacing w:after="120"/>
        <w:ind w:left="1860" w:leftChars="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TBD interference freq offset for OBUE requirement</w:t>
      </w:r>
    </w:p>
    <w:p w14:paraId="49EA7E7C">
      <w:pPr>
        <w:rPr>
          <w:rFonts w:hint="default" w:ascii="Times New Roman" w:hAnsi="Times New Roman" w:cs="Times New Roman"/>
          <w:color w:val="auto"/>
          <w:u w:val="single"/>
        </w:rPr>
      </w:pPr>
    </w:p>
    <w:p w14:paraId="4A9FEBBC">
      <w:pPr>
        <w:rPr>
          <w:rFonts w:hint="default" w:ascii="Times New Roman" w:hAnsi="Times New Roman" w:cs="Times New Roman"/>
          <w:b/>
          <w:bCs/>
          <w:iCs/>
          <w:color w:val="auto"/>
          <w:lang w:val="en-US" w:eastAsia="zh-CN"/>
        </w:rPr>
      </w:pPr>
      <w:r>
        <w:rPr>
          <w:rFonts w:hint="default" w:ascii="Times New Roman" w:hAnsi="Times New Roman" w:cs="Times New Roman"/>
          <w:b/>
          <w:bCs/>
          <w:iCs/>
          <w:color w:val="auto"/>
          <w:lang w:val="en-US" w:eastAsia="zh-CN"/>
        </w:rPr>
        <w:t>Issue 1-1-2: Reduction of  test configuration for Tx requirement</w:t>
      </w:r>
    </w:p>
    <w:p w14:paraId="72F6C33E">
      <w:pPr>
        <w:pStyle w:val="134"/>
        <w:numPr>
          <w:ilvl w:val="0"/>
          <w:numId w:val="17"/>
        </w:numPr>
        <w:overflowPunct/>
        <w:autoSpaceDE/>
        <w:autoSpaceDN/>
        <w:adjustRightInd/>
        <w:spacing w:after="120"/>
        <w:ind w:left="720" w:firstLineChars="0"/>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szCs w:val="24"/>
          <w:highlight w:val="none"/>
          <w:lang w:val="en-US" w:eastAsia="zh-CN"/>
        </w:rPr>
        <w:t xml:space="preserve">Agreement: </w:t>
      </w:r>
    </w:p>
    <w:p w14:paraId="12B00A25">
      <w:pPr>
        <w:pStyle w:val="134"/>
        <w:numPr>
          <w:ilvl w:val="1"/>
          <w:numId w:val="17"/>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 xml:space="preserve">Proposal 1: for AAS TS 37.145-2, only </w:t>
      </w:r>
      <w:r>
        <w:rPr>
          <w:rFonts w:hint="default" w:ascii="Times New Roman" w:hAnsi="Times New Roman" w:cs="Times New Roman"/>
          <w:iCs/>
          <w:color w:val="auto"/>
          <w:highlight w:val="none"/>
          <w:lang w:val="en-US" w:eastAsia="en-GB"/>
        </w:rPr>
        <w:t>ANTCR7 is needed</w:t>
      </w:r>
      <w:r>
        <w:rPr>
          <w:rFonts w:hint="default" w:ascii="Times New Roman" w:hAnsi="Times New Roman" w:cs="Times New Roman"/>
          <w:iCs/>
          <w:color w:val="auto"/>
          <w:highlight w:val="none"/>
          <w:lang w:val="en-US" w:eastAsia="zh-CN"/>
        </w:rPr>
        <w:t xml:space="preserve"> for C and NC capable BS with identical parameters, so </w:t>
      </w:r>
      <w:r>
        <w:rPr>
          <w:rFonts w:hint="default" w:ascii="Times New Roman" w:hAnsi="Times New Roman" w:cs="Times New Roman"/>
          <w:iCs/>
          <w:color w:val="auto"/>
          <w:highlight w:val="none"/>
          <w:lang w:val="en-US" w:eastAsia="en-GB"/>
        </w:rPr>
        <w:t>ATCR7 can be removed from the tests.</w:t>
      </w:r>
    </w:p>
    <w:p w14:paraId="4FBE1BD2">
      <w:pPr>
        <w:pStyle w:val="134"/>
        <w:numPr>
          <w:ilvl w:val="1"/>
          <w:numId w:val="17"/>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FFS on the maximum output power for the conformance testing.</w:t>
      </w:r>
    </w:p>
    <w:p w14:paraId="17C890A5">
      <w:pPr>
        <w:rPr>
          <w:rFonts w:hint="default" w:ascii="Times New Roman" w:hAnsi="Times New Roman" w:cs="Times New Roman"/>
          <w:color w:val="auto"/>
          <w:u w:val="single"/>
        </w:rPr>
      </w:pPr>
    </w:p>
    <w:p w14:paraId="712D1FAD">
      <w:pPr>
        <w:rPr>
          <w:rFonts w:hint="default" w:ascii="Times New Roman" w:hAnsi="Times New Roman" w:cs="Times New Roman"/>
          <w:b/>
          <w:bCs/>
          <w:iCs/>
          <w:color w:val="auto"/>
          <w:lang w:val="en-US" w:eastAsia="zh-CN"/>
        </w:rPr>
      </w:pPr>
      <w:r>
        <w:rPr>
          <w:rFonts w:hint="default" w:ascii="Times New Roman" w:hAnsi="Times New Roman" w:cs="Times New Roman"/>
          <w:b/>
          <w:bCs/>
          <w:iCs/>
          <w:color w:val="auto"/>
          <w:lang w:val="en-US" w:eastAsia="zh-CN"/>
        </w:rPr>
        <w:t>Issue 1-2-1: Out of band blocking</w:t>
      </w:r>
    </w:p>
    <w:p w14:paraId="5C617CC9">
      <w:pPr>
        <w:pStyle w:val="134"/>
        <w:numPr>
          <w:ilvl w:val="0"/>
          <w:numId w:val="17"/>
        </w:numPr>
        <w:overflowPunct/>
        <w:autoSpaceDE/>
        <w:autoSpaceDN/>
        <w:adjustRightInd/>
        <w:spacing w:after="120"/>
        <w:ind w:left="720" w:firstLineChars="0"/>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szCs w:val="24"/>
          <w:highlight w:val="none"/>
          <w:lang w:val="en-US" w:eastAsia="zh-CN"/>
        </w:rPr>
        <w:t xml:space="preserve">Agreement: </w:t>
      </w:r>
    </w:p>
    <w:p w14:paraId="1B7AB790">
      <w:pPr>
        <w:pStyle w:val="134"/>
        <w:numPr>
          <w:ilvl w:val="1"/>
          <w:numId w:val="17"/>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To increase the step size for OOBB conformance testing for FR1 BS</w:t>
      </w:r>
    </w:p>
    <w:p w14:paraId="54758788">
      <w:pPr>
        <w:pStyle w:val="134"/>
        <w:numPr>
          <w:ilvl w:val="1"/>
          <w:numId w:val="17"/>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FFS on the step size for OOBB conformance testing</w:t>
      </w:r>
    </w:p>
    <w:p w14:paraId="31DC0DC4">
      <w:pPr>
        <w:rPr>
          <w:rFonts w:hint="default" w:ascii="Times New Roman" w:hAnsi="Times New Roman" w:cs="Times New Roman"/>
          <w:color w:val="auto"/>
          <w:szCs w:val="24"/>
          <w:highlight w:val="green"/>
          <w:lang w:eastAsia="zh-CN"/>
        </w:rPr>
      </w:pPr>
    </w:p>
    <w:p w14:paraId="711230F5">
      <w:pPr>
        <w:spacing w:after="120"/>
        <w:rPr>
          <w:rFonts w:hint="default" w:ascii="Times New Roman" w:hAnsi="Times New Roman" w:cs="Times New Roman"/>
          <w:b/>
          <w:bCs/>
          <w:iCs/>
          <w:color w:val="auto"/>
        </w:rPr>
      </w:pPr>
      <w:r>
        <w:rPr>
          <w:rFonts w:hint="default" w:ascii="Times New Roman" w:hAnsi="Times New Roman" w:cs="Times New Roman"/>
          <w:b/>
          <w:bCs/>
          <w:iCs/>
          <w:color w:val="auto"/>
        </w:rPr>
        <w:t>Conformance testing for BS TRP Annex simplification:</w:t>
      </w:r>
    </w:p>
    <w:p w14:paraId="722E65F9">
      <w:pPr>
        <w:rPr>
          <w:rFonts w:hint="default" w:ascii="Times New Roman" w:hAnsi="Times New Roman" w:cs="Times New Roman"/>
          <w:color w:val="auto"/>
          <w:lang w:val="en-US"/>
        </w:rPr>
      </w:pPr>
      <w:r>
        <w:rPr>
          <w:rFonts w:hint="default" w:ascii="Times New Roman" w:hAnsi="Times New Roman" w:cs="Times New Roman"/>
          <w:b/>
          <w:bCs/>
          <w:iCs/>
          <w:color w:val="auto"/>
          <w:lang w:val="en-US" w:eastAsia="zh-CN"/>
        </w:rPr>
        <w:t>Issue 2-1: TRP test methods</w:t>
      </w:r>
    </w:p>
    <w:p w14:paraId="6D5694A1">
      <w:pPr>
        <w:pStyle w:val="134"/>
        <w:numPr>
          <w:ilvl w:val="0"/>
          <w:numId w:val="17"/>
        </w:numPr>
        <w:overflowPunct/>
        <w:autoSpaceDE/>
        <w:autoSpaceDN/>
        <w:adjustRightInd/>
        <w:spacing w:after="120"/>
        <w:ind w:left="720" w:firstLineChars="0"/>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szCs w:val="24"/>
          <w:highlight w:val="none"/>
          <w:lang w:val="en-US" w:eastAsia="zh-CN"/>
        </w:rPr>
        <w:t xml:space="preserve">Agreement: </w:t>
      </w:r>
    </w:p>
    <w:p w14:paraId="7946E8EB">
      <w:pPr>
        <w:pStyle w:val="134"/>
        <w:numPr>
          <w:ilvl w:val="1"/>
          <w:numId w:val="17"/>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To keep the current TRP testing method, TRP sampling grid and testing chamber in the specification</w:t>
      </w:r>
    </w:p>
    <w:p w14:paraId="79AB0902">
      <w:pPr>
        <w:pStyle w:val="134"/>
        <w:numPr>
          <w:ilvl w:val="1"/>
          <w:numId w:val="17"/>
        </w:numPr>
        <w:overflowPunct/>
        <w:autoSpaceDE/>
        <w:autoSpaceDN/>
        <w:adjustRightInd/>
        <w:spacing w:after="120"/>
        <w:ind w:left="1440" w:firstLineChars="0"/>
        <w:textAlignment w:val="auto"/>
        <w:rPr>
          <w:rFonts w:eastAsiaTheme="minorEastAsia"/>
          <w:lang w:eastAsia="zh-CN"/>
        </w:rPr>
      </w:pPr>
      <w:r>
        <w:rPr>
          <w:rFonts w:hint="default" w:ascii="Times New Roman" w:hAnsi="Times New Roman" w:cs="Times New Roman"/>
          <w:iCs/>
          <w:color w:val="auto"/>
          <w:highlight w:val="none"/>
          <w:lang w:val="en-US" w:eastAsia="zh-CN"/>
        </w:rPr>
        <w:t>Further discuss how to improve the test procedure and the applicability of testing method for different requirements in Annex N of TS 38.141-2.</w:t>
      </w:r>
    </w:p>
    <w:p w14:paraId="310D7811">
      <w:pPr>
        <w:pStyle w:val="4"/>
        <w:rPr>
          <w:lang w:eastAsia="ja-JP"/>
        </w:rPr>
      </w:pPr>
      <w:r>
        <w:rPr>
          <w:lang w:eastAsia="ja-JP"/>
        </w:rPr>
        <w:t>2.4.2</w:t>
      </w:r>
      <w:r>
        <w:rPr>
          <w:lang w:eastAsia="ja-JP"/>
        </w:rPr>
        <w:tab/>
      </w:r>
      <w:r>
        <w:rPr>
          <w:lang w:eastAsia="ja-JP"/>
        </w:rPr>
        <w:t>Remaining Open issues</w:t>
      </w:r>
    </w:p>
    <w:p w14:paraId="32198030">
      <w:pPr>
        <w:keepNext/>
        <w:keepLines/>
        <w:rPr>
          <w:rFonts w:eastAsia="宋体"/>
          <w:kern w:val="2"/>
          <w:sz w:val="21"/>
          <w:szCs w:val="22"/>
          <w:lang w:val="en-US" w:eastAsia="zh-CN"/>
        </w:rPr>
      </w:pPr>
      <w:r>
        <w:rPr>
          <w:rFonts w:hint="eastAsia" w:eastAsia="宋体"/>
          <w:b/>
          <w:bCs/>
          <w:kern w:val="2"/>
          <w:sz w:val="21"/>
          <w:szCs w:val="22"/>
          <w:lang w:val="en-US" w:eastAsia="zh-CN"/>
        </w:rPr>
        <w:t>Core part:  Open issues for co-location reference antenna</w:t>
      </w:r>
    </w:p>
    <w:p w14:paraId="0CDB155D">
      <w:pPr>
        <w:keepNext/>
        <w:keepLines/>
        <w:pageBreakBefore w:val="0"/>
        <w:widowControl/>
        <w:kinsoku/>
        <w:wordWrap/>
        <w:overflowPunct w:val="0"/>
        <w:topLinePunct w:val="0"/>
        <w:autoSpaceDE w:val="0"/>
        <w:autoSpaceDN w:val="0"/>
        <w:bidi w:val="0"/>
        <w:adjustRightInd w:val="0"/>
        <w:snapToGrid/>
        <w:ind w:left="1134" w:hanging="1134"/>
        <w:textAlignment w:val="baseline"/>
        <w:outlineLvl w:val="9"/>
        <w:rPr>
          <w:highlight w:val="yellow"/>
        </w:rPr>
      </w:pPr>
      <w:r>
        <w:t>Sub-topic 1-1: BS-to-BS isolation analysis</w:t>
      </w:r>
    </w:p>
    <w:p w14:paraId="3DB51169">
      <w:pPr>
        <w:numPr>
          <w:ilvl w:val="0"/>
          <w:numId w:val="19"/>
        </w:numPr>
        <w:ind w:left="420" w:leftChars="0" w:hanging="420" w:firstLineChars="0"/>
        <w:rPr>
          <w:rFonts w:hint="eastAsia" w:ascii="Times New Roman" w:hAnsi="Times New Roman" w:eastAsia="Times New Roman" w:cs="Times New Roman"/>
          <w:b w:val="0"/>
          <w:bCs w:val="0"/>
          <w:iCs/>
          <w:color w:val="auto"/>
          <w:lang w:val="en-US" w:eastAsia="zh-CN"/>
        </w:rPr>
      </w:pPr>
      <w:r>
        <w:rPr>
          <w:rFonts w:hint="eastAsia" w:ascii="Times New Roman" w:hAnsi="Times New Roman" w:eastAsia="Times New Roman" w:cs="Times New Roman"/>
          <w:b w:val="0"/>
          <w:bCs w:val="0"/>
          <w:iCs/>
          <w:color w:val="auto"/>
          <w:lang w:val="en-US" w:eastAsia="zh-CN"/>
        </w:rPr>
        <w:t>Continue the BS-to-BS isolation data collection</w:t>
      </w:r>
    </w:p>
    <w:p w14:paraId="4E504122">
      <w:pPr>
        <w:keepNext/>
        <w:keepLines/>
        <w:pageBreakBefore w:val="0"/>
        <w:widowControl/>
        <w:kinsoku/>
        <w:wordWrap/>
        <w:overflowPunct w:val="0"/>
        <w:topLinePunct w:val="0"/>
        <w:autoSpaceDE w:val="0"/>
        <w:autoSpaceDN w:val="0"/>
        <w:bidi w:val="0"/>
        <w:adjustRightInd w:val="0"/>
        <w:snapToGrid/>
        <w:ind w:left="1134" w:hanging="1134"/>
        <w:textAlignment w:val="baseline"/>
        <w:outlineLvl w:val="9"/>
        <w:rPr>
          <w:lang w:eastAsia="zh-CN"/>
        </w:rPr>
      </w:pPr>
      <w:r>
        <w:t>Sub-topic 1-4: TX IMD co-location</w:t>
      </w:r>
    </w:p>
    <w:p w14:paraId="39389BF9">
      <w:pPr>
        <w:overflowPunct/>
        <w:autoSpaceDE/>
        <w:autoSpaceDN/>
        <w:adjustRightInd/>
        <w:spacing w:after="120"/>
        <w:textAlignment w:val="auto"/>
        <w:rPr>
          <w:lang w:eastAsia="zh-CN"/>
        </w:rPr>
      </w:pPr>
      <w:r>
        <w:rPr>
          <w:b/>
          <w:lang w:eastAsia="zh-CN"/>
        </w:rPr>
        <w:t>Way forward</w:t>
      </w:r>
      <w:r>
        <w:rPr>
          <w:lang w:eastAsia="zh-CN"/>
        </w:rPr>
        <w:t>:</w:t>
      </w:r>
    </w:p>
    <w:p w14:paraId="0AE2D791">
      <w:pPr>
        <w:numPr>
          <w:ilvl w:val="0"/>
          <w:numId w:val="19"/>
        </w:numPr>
        <w:ind w:left="420" w:leftChars="0" w:hanging="420" w:firstLineChars="0"/>
      </w:pPr>
      <w:r>
        <w:rPr>
          <w:rFonts w:hint="eastAsia" w:ascii="Times New Roman" w:hAnsi="Times New Roman" w:eastAsia="Times New Roman" w:cs="Times New Roman"/>
          <w:b w:val="0"/>
          <w:bCs w:val="0"/>
          <w:iCs/>
          <w:color w:val="auto"/>
          <w:lang w:val="en-US" w:eastAsia="zh-CN"/>
        </w:rPr>
        <w:t>Companies are encouraged to provide inputs on the handling of the intra-system TX IMD requirements.</w:t>
      </w:r>
    </w:p>
    <w:p w14:paraId="64CCEA6F">
      <w:pPr>
        <w:keepNext/>
        <w:keepLines/>
        <w:pageBreakBefore w:val="0"/>
        <w:widowControl/>
        <w:kinsoku/>
        <w:wordWrap/>
        <w:overflowPunct w:val="0"/>
        <w:topLinePunct w:val="0"/>
        <w:autoSpaceDE w:val="0"/>
        <w:autoSpaceDN w:val="0"/>
        <w:bidi w:val="0"/>
        <w:adjustRightInd w:val="0"/>
        <w:snapToGrid/>
        <w:ind w:left="1134" w:hanging="1134"/>
        <w:textAlignment w:val="baseline"/>
        <w:outlineLvl w:val="9"/>
      </w:pPr>
      <w:r>
        <w:t>Sub-topic 1-6: Horn antenna aspects</w:t>
      </w:r>
    </w:p>
    <w:p w14:paraId="638AB6E4">
      <w:pPr>
        <w:numPr>
          <w:ilvl w:val="0"/>
          <w:numId w:val="19"/>
        </w:numPr>
        <w:ind w:left="420" w:leftChars="0" w:hanging="420" w:firstLineChars="0"/>
        <w:rPr>
          <w:rFonts w:hint="eastAsia" w:ascii="Times New Roman" w:hAnsi="Times New Roman" w:eastAsia="Times New Roman" w:cs="Times New Roman"/>
          <w:b w:val="0"/>
          <w:bCs w:val="0"/>
          <w:iCs/>
          <w:color w:val="auto"/>
          <w:lang w:val="en-US" w:eastAsia="zh-CN"/>
        </w:rPr>
      </w:pPr>
      <w:r>
        <w:rPr>
          <w:rFonts w:hint="eastAsia" w:ascii="Times New Roman" w:hAnsi="Times New Roman" w:eastAsia="Times New Roman" w:cs="Times New Roman"/>
          <w:b w:val="0"/>
          <w:bCs w:val="0"/>
          <w:iCs/>
          <w:color w:val="auto"/>
          <w:lang w:val="en-US" w:eastAsia="zh-CN"/>
        </w:rPr>
        <w:t>Way forward: Companies to investigate applicable frequency range for horn antenna studies (i.e., where the reference CLTA may not be available).</w:t>
      </w:r>
    </w:p>
    <w:p w14:paraId="2E2A599F">
      <w:pPr>
        <w:pStyle w:val="134"/>
        <w:keepNext/>
        <w:keepLines/>
        <w:widowControl/>
        <w:spacing w:after="120"/>
        <w:ind w:left="360" w:leftChars="0"/>
        <w:jc w:val="left"/>
        <w:rPr>
          <w:lang w:eastAsia="zh-CN"/>
        </w:rPr>
      </w:pPr>
    </w:p>
    <w:p w14:paraId="70745A4A">
      <w:pPr>
        <w:keepNext/>
        <w:keepLines/>
        <w:rPr>
          <w:rFonts w:hint="eastAsia" w:eastAsia="宋体"/>
          <w:b/>
          <w:bCs/>
          <w:kern w:val="2"/>
          <w:sz w:val="21"/>
          <w:szCs w:val="22"/>
          <w:lang w:val="en-US" w:eastAsia="zh-CN"/>
        </w:rPr>
      </w:pPr>
      <w:r>
        <w:rPr>
          <w:rFonts w:hint="eastAsia" w:eastAsia="宋体"/>
          <w:b/>
          <w:bCs/>
          <w:kern w:val="2"/>
          <w:sz w:val="21"/>
          <w:szCs w:val="22"/>
          <w:lang w:val="en-US" w:eastAsia="zh-CN"/>
        </w:rPr>
        <w:t>Per part:  open issues for U6GHz EIRP mask</w:t>
      </w:r>
    </w:p>
    <w:p w14:paraId="300DCFA7">
      <w:pPr>
        <w:rPr>
          <w:rFonts w:hint="eastAsia"/>
          <w:b w:val="0"/>
          <w:bCs w:val="0"/>
          <w:iCs/>
          <w:color w:val="auto"/>
          <w:lang w:val="en-US" w:eastAsia="zh-CN"/>
        </w:rPr>
      </w:pPr>
      <w:r>
        <w:rPr>
          <w:rFonts w:hint="eastAsia"/>
          <w:b w:val="0"/>
          <w:bCs w:val="0"/>
          <w:iCs/>
          <w:color w:val="auto"/>
          <w:lang w:val="en-US" w:eastAsia="zh-CN"/>
        </w:rPr>
        <w:t>Issue 2-6: Measurement uncertainty</w:t>
      </w:r>
    </w:p>
    <w:p w14:paraId="551280B4">
      <w:pPr>
        <w:numPr>
          <w:ilvl w:val="0"/>
          <w:numId w:val="19"/>
        </w:numPr>
        <w:ind w:left="420" w:leftChars="0" w:hanging="420" w:firstLineChars="0"/>
        <w:rPr>
          <w:rFonts w:hint="default" w:ascii="Times New Roman" w:hAnsi="Times New Roman" w:eastAsia="Times New Roman" w:cs="Times New Roman"/>
          <w:b w:val="0"/>
          <w:bCs w:val="0"/>
          <w:iCs/>
          <w:color w:val="auto"/>
          <w:lang w:val="en-US" w:eastAsia="zh-CN"/>
        </w:rPr>
      </w:pPr>
      <w:r>
        <w:rPr>
          <w:rFonts w:hint="eastAsia" w:ascii="Times New Roman" w:hAnsi="Times New Roman" w:eastAsia="Times New Roman" w:cs="Times New Roman"/>
          <w:b w:val="0"/>
          <w:bCs w:val="0"/>
          <w:iCs/>
          <w:color w:val="auto"/>
          <w:lang w:val="en-US" w:eastAsia="zh-CN"/>
        </w:rPr>
        <w:t>To finalize the MU value</w:t>
      </w:r>
    </w:p>
    <w:p w14:paraId="5471AF5D">
      <w:pPr>
        <w:rPr>
          <w:b w:val="0"/>
          <w:bCs w:val="0"/>
          <w:color w:val="auto"/>
          <w:lang w:val="sv-SE" w:eastAsia="zh-CN"/>
        </w:rPr>
      </w:pPr>
      <w:r>
        <w:rPr>
          <w:rFonts w:hint="eastAsia"/>
          <w:b w:val="0"/>
          <w:bCs w:val="0"/>
          <w:iCs/>
          <w:color w:val="auto"/>
          <w:lang w:val="en-US" w:eastAsia="zh-CN"/>
        </w:rPr>
        <w:t>Issue 2-7: CI</w:t>
      </w:r>
    </w:p>
    <w:p w14:paraId="03EB4712">
      <w:pPr>
        <w:numPr>
          <w:ilvl w:val="0"/>
          <w:numId w:val="19"/>
        </w:numPr>
        <w:ind w:left="420" w:leftChars="0" w:hanging="420" w:firstLineChars="0"/>
        <w:rPr>
          <w:rFonts w:hint="eastAsia" w:eastAsia="宋体"/>
          <w:b/>
          <w:bCs/>
          <w:kern w:val="2"/>
          <w:sz w:val="21"/>
          <w:szCs w:val="22"/>
          <w:lang w:val="en-US" w:eastAsia="zh-CN"/>
        </w:rPr>
      </w:pPr>
      <w:r>
        <w:rPr>
          <w:rFonts w:hint="eastAsia"/>
          <w:b w:val="0"/>
          <w:bCs w:val="0"/>
          <w:iCs/>
          <w:color w:val="auto"/>
          <w:lang w:val="en-US" w:eastAsia="zh-CN"/>
        </w:rPr>
        <w:t>To finalize the CI based on collected inputs from companies.</w:t>
      </w:r>
    </w:p>
    <w:p w14:paraId="6118BA85">
      <w:pPr>
        <w:numPr>
          <w:ilvl w:val="0"/>
          <w:numId w:val="0"/>
        </w:numPr>
        <w:ind w:leftChars="0"/>
        <w:rPr>
          <w:rFonts w:hint="eastAsia" w:eastAsia="宋体"/>
          <w:b/>
          <w:bCs/>
          <w:kern w:val="2"/>
          <w:sz w:val="21"/>
          <w:szCs w:val="22"/>
          <w:lang w:val="en-US" w:eastAsia="zh-CN"/>
        </w:rPr>
      </w:pPr>
    </w:p>
    <w:p w14:paraId="1ED50C66">
      <w:pPr>
        <w:keepNext/>
        <w:keepLines/>
        <w:rPr>
          <w:rFonts w:eastAsia="宋体"/>
          <w:b/>
          <w:bCs/>
          <w:kern w:val="2"/>
          <w:sz w:val="21"/>
          <w:szCs w:val="22"/>
          <w:lang w:val="en-US" w:eastAsia="zh-CN"/>
        </w:rPr>
      </w:pPr>
      <w:r>
        <w:rPr>
          <w:rFonts w:hint="eastAsia" w:eastAsia="宋体"/>
          <w:b/>
          <w:bCs/>
          <w:kern w:val="2"/>
          <w:sz w:val="21"/>
          <w:szCs w:val="22"/>
          <w:lang w:val="en-US" w:eastAsia="zh-CN"/>
        </w:rPr>
        <w:t xml:space="preserve">Perf part: Open issues for the reduction of testing scope </w:t>
      </w:r>
    </w:p>
    <w:p w14:paraId="0B30DBBE">
      <w:pPr>
        <w:rPr>
          <w:szCs w:val="24"/>
          <w:lang w:val="en-US" w:eastAsia="zh-CN"/>
        </w:rPr>
      </w:pPr>
      <w:r>
        <w:rPr>
          <w:rFonts w:hint="eastAsia"/>
          <w:b/>
          <w:bCs/>
          <w:iCs/>
          <w:lang w:val="en-US" w:eastAsia="zh-CN"/>
        </w:rPr>
        <w:t>test scope reduction for Tx requirement</w:t>
      </w:r>
    </w:p>
    <w:p w14:paraId="638DAA92">
      <w:pPr>
        <w:pStyle w:val="134"/>
        <w:numPr>
          <w:ilvl w:val="1"/>
          <w:numId w:val="17"/>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Further discuss the applicable interference freq offset for ACLR, OBUE and spurious emission requirements;</w:t>
      </w:r>
    </w:p>
    <w:p w14:paraId="5796DE00">
      <w:pPr>
        <w:pStyle w:val="134"/>
        <w:numPr>
          <w:ilvl w:val="2"/>
          <w:numId w:val="17"/>
        </w:numPr>
        <w:overflowPunct/>
        <w:autoSpaceDE/>
        <w:autoSpaceDN/>
        <w:adjustRightInd/>
        <w:spacing w:after="120"/>
        <w:ind w:left="1860" w:leftChars="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TBD interference freq offset for OBUE requirement</w:t>
      </w:r>
    </w:p>
    <w:p w14:paraId="2C614945">
      <w:pPr>
        <w:pStyle w:val="134"/>
        <w:widowControl/>
        <w:numPr>
          <w:ilvl w:val="0"/>
          <w:numId w:val="0"/>
        </w:numPr>
        <w:spacing w:after="120" w:line="259" w:lineRule="auto"/>
        <w:ind w:left="1080" w:leftChars="0"/>
        <w:jc w:val="left"/>
        <w:rPr>
          <w:iCs/>
          <w:lang w:eastAsia="zh-CN"/>
        </w:rPr>
      </w:pPr>
    </w:p>
    <w:p w14:paraId="27FBCB54">
      <w:pPr>
        <w:rPr>
          <w:rFonts w:hint="default" w:ascii="Times New Roman" w:hAnsi="Times New Roman" w:cs="Times New Roman"/>
          <w:b/>
          <w:bCs/>
          <w:iCs/>
          <w:color w:val="auto"/>
          <w:lang w:val="en-US" w:eastAsia="zh-CN"/>
        </w:rPr>
      </w:pPr>
      <w:r>
        <w:rPr>
          <w:rFonts w:hint="default" w:ascii="Times New Roman" w:hAnsi="Times New Roman" w:cs="Times New Roman"/>
          <w:b/>
          <w:bCs/>
          <w:iCs/>
          <w:color w:val="auto"/>
          <w:lang w:val="en-US" w:eastAsia="zh-CN"/>
        </w:rPr>
        <w:t>Reduction of  test configuration for Tx requirement</w:t>
      </w:r>
    </w:p>
    <w:p w14:paraId="59DAD307">
      <w:pPr>
        <w:pStyle w:val="134"/>
        <w:numPr>
          <w:ilvl w:val="0"/>
          <w:numId w:val="17"/>
        </w:numPr>
        <w:overflowPunct/>
        <w:autoSpaceDE/>
        <w:autoSpaceDN/>
        <w:adjustRightInd/>
        <w:spacing w:after="120"/>
        <w:ind w:left="720" w:firstLineChars="0"/>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szCs w:val="24"/>
          <w:highlight w:val="none"/>
          <w:lang w:val="en-US" w:eastAsia="zh-CN"/>
        </w:rPr>
        <w:t xml:space="preserve">Agreement: </w:t>
      </w:r>
    </w:p>
    <w:p w14:paraId="006B5B0B">
      <w:pPr>
        <w:pStyle w:val="134"/>
        <w:numPr>
          <w:ilvl w:val="1"/>
          <w:numId w:val="17"/>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 xml:space="preserve">for AAS TS 37.145-2, only </w:t>
      </w:r>
      <w:r>
        <w:rPr>
          <w:rFonts w:hint="default" w:ascii="Times New Roman" w:hAnsi="Times New Roman" w:cs="Times New Roman"/>
          <w:iCs/>
          <w:color w:val="auto"/>
          <w:highlight w:val="none"/>
          <w:lang w:val="en-US" w:eastAsia="en-GB"/>
        </w:rPr>
        <w:t>ANTCR7 is needed</w:t>
      </w:r>
      <w:r>
        <w:rPr>
          <w:rFonts w:hint="default" w:ascii="Times New Roman" w:hAnsi="Times New Roman" w:cs="Times New Roman"/>
          <w:iCs/>
          <w:color w:val="auto"/>
          <w:highlight w:val="none"/>
          <w:lang w:val="en-US" w:eastAsia="zh-CN"/>
        </w:rPr>
        <w:t xml:space="preserve"> for C and NC capable BS with identical parameters, so </w:t>
      </w:r>
      <w:r>
        <w:rPr>
          <w:rFonts w:hint="default" w:ascii="Times New Roman" w:hAnsi="Times New Roman" w:cs="Times New Roman"/>
          <w:iCs/>
          <w:color w:val="auto"/>
          <w:highlight w:val="none"/>
          <w:lang w:val="en-US" w:eastAsia="en-GB"/>
        </w:rPr>
        <w:t>ATCR7 can be removed from the tests.</w:t>
      </w:r>
    </w:p>
    <w:p w14:paraId="01D95613">
      <w:pPr>
        <w:pStyle w:val="134"/>
        <w:numPr>
          <w:ilvl w:val="1"/>
          <w:numId w:val="17"/>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FFS on the maximum output power for the conformance testing.</w:t>
      </w:r>
    </w:p>
    <w:p w14:paraId="5D93E5C8">
      <w:pPr>
        <w:pStyle w:val="134"/>
        <w:widowControl/>
        <w:numPr>
          <w:ilvl w:val="0"/>
          <w:numId w:val="0"/>
        </w:numPr>
        <w:spacing w:after="120" w:line="259" w:lineRule="auto"/>
        <w:ind w:left="1080" w:leftChars="0"/>
        <w:jc w:val="left"/>
        <w:rPr>
          <w:iCs/>
          <w:lang w:eastAsia="zh-CN"/>
        </w:rPr>
      </w:pPr>
    </w:p>
    <w:p w14:paraId="3E8812D0">
      <w:pPr>
        <w:rPr>
          <w:b/>
          <w:bCs/>
          <w:iCs/>
          <w:lang w:val="en-US" w:eastAsia="zh-CN"/>
        </w:rPr>
      </w:pPr>
      <w:r>
        <w:rPr>
          <w:rFonts w:hint="eastAsia"/>
          <w:b/>
          <w:bCs/>
          <w:iCs/>
          <w:lang w:val="en-US" w:eastAsia="zh-CN"/>
        </w:rPr>
        <w:t>Out of band blocking</w:t>
      </w:r>
    </w:p>
    <w:p w14:paraId="6F8DD94E">
      <w:pPr>
        <w:pStyle w:val="134"/>
        <w:numPr>
          <w:ilvl w:val="1"/>
          <w:numId w:val="17"/>
        </w:numPr>
        <w:overflowPunct/>
        <w:autoSpaceDE/>
        <w:autoSpaceDN/>
        <w:adjustRightInd/>
        <w:spacing w:after="120"/>
        <w:ind w:left="1440" w:firstLineChars="0"/>
        <w:textAlignment w:val="auto"/>
        <w:rPr>
          <w:rFonts w:hint="default" w:ascii="Times New Roman" w:hAnsi="Times New Roman" w:cs="Times New Roman"/>
          <w:iCs/>
          <w:color w:val="auto"/>
          <w:highlight w:val="none"/>
          <w:lang w:val="en-US" w:eastAsia="zh-CN"/>
        </w:rPr>
      </w:pPr>
      <w:r>
        <w:rPr>
          <w:rFonts w:hint="default" w:ascii="Times New Roman" w:hAnsi="Times New Roman" w:cs="Times New Roman"/>
          <w:iCs/>
          <w:color w:val="auto"/>
          <w:highlight w:val="none"/>
          <w:lang w:val="en-US" w:eastAsia="zh-CN"/>
        </w:rPr>
        <w:t>FFS on the step size for OOBB conformance testing</w:t>
      </w:r>
    </w:p>
    <w:p w14:paraId="22444253">
      <w:pPr>
        <w:keepNext/>
        <w:keepLines/>
        <w:rPr>
          <w:rFonts w:eastAsia="宋体"/>
          <w:b/>
          <w:bCs/>
          <w:kern w:val="2"/>
          <w:sz w:val="21"/>
          <w:szCs w:val="22"/>
          <w:lang w:val="en-US" w:eastAsia="zh-CN"/>
        </w:rPr>
      </w:pPr>
      <w:r>
        <w:rPr>
          <w:rFonts w:hint="eastAsia" w:eastAsia="宋体"/>
          <w:b/>
          <w:bCs/>
          <w:kern w:val="2"/>
          <w:sz w:val="21"/>
          <w:szCs w:val="22"/>
          <w:lang w:val="en-US" w:eastAsia="zh-CN"/>
        </w:rPr>
        <w:t>Open issues for the reduction of simplification BS TRP test methods for FR1 and FR2</w:t>
      </w:r>
    </w:p>
    <w:p w14:paraId="4B2A07E8">
      <w:pPr>
        <w:pStyle w:val="134"/>
        <w:numPr>
          <w:ilvl w:val="1"/>
          <w:numId w:val="17"/>
        </w:numPr>
        <w:overflowPunct/>
        <w:autoSpaceDE/>
        <w:autoSpaceDN/>
        <w:adjustRightInd/>
        <w:spacing w:after="120"/>
        <w:ind w:left="1440" w:firstLineChars="0"/>
        <w:textAlignment w:val="auto"/>
        <w:rPr>
          <w:rFonts w:eastAsiaTheme="minorEastAsia"/>
          <w:lang w:eastAsia="zh-CN"/>
        </w:rPr>
      </w:pPr>
      <w:r>
        <w:rPr>
          <w:rFonts w:hint="default" w:ascii="Times New Roman" w:hAnsi="Times New Roman" w:cs="Times New Roman"/>
          <w:iCs/>
          <w:color w:val="auto"/>
          <w:highlight w:val="none"/>
          <w:lang w:val="en-US" w:eastAsia="zh-CN"/>
        </w:rPr>
        <w:t>Further discuss how to improve the test procedure and the applicability of testing method for different requirements in Annex N of TS 38.141-2.</w:t>
      </w:r>
    </w:p>
    <w:p w14:paraId="1CD3C4FA">
      <w:pPr>
        <w:pStyle w:val="134"/>
        <w:widowControl/>
        <w:numPr>
          <w:ilvl w:val="0"/>
          <w:numId w:val="0"/>
        </w:numPr>
        <w:spacing w:after="120" w:line="259" w:lineRule="auto"/>
        <w:jc w:val="left"/>
        <w:rPr>
          <w:iCs/>
          <w:lang w:eastAsia="zh-CN"/>
        </w:rPr>
      </w:pPr>
    </w:p>
    <w:p w14:paraId="56C74A1A">
      <w:pPr>
        <w:pStyle w:val="3"/>
        <w:rPr>
          <w:lang w:eastAsia="ja-JP"/>
        </w:rPr>
      </w:pPr>
      <w:r>
        <w:rPr>
          <w:lang w:eastAsia="ja-JP"/>
        </w:rPr>
        <w:t>2.5</w:t>
      </w:r>
      <w:r>
        <w:rPr>
          <w:lang w:eastAsia="ja-JP"/>
        </w:rPr>
        <w:tab/>
      </w:r>
      <w:r>
        <w:rPr>
          <w:rFonts w:hint="eastAsia"/>
          <w:lang w:eastAsia="ja-JP"/>
        </w:rPr>
        <w:t>RAN</w:t>
      </w:r>
      <w:r>
        <w:rPr>
          <w:lang w:eastAsia="ja-JP"/>
        </w:rPr>
        <w:t>5</w:t>
      </w:r>
    </w:p>
    <w:p w14:paraId="604C09FC">
      <w:pPr>
        <w:pStyle w:val="4"/>
        <w:rPr>
          <w:lang w:eastAsia="ja-JP"/>
        </w:rPr>
      </w:pPr>
      <w:r>
        <w:rPr>
          <w:lang w:eastAsia="ja-JP"/>
        </w:rPr>
        <w:t>2.5.1</w:t>
      </w:r>
      <w:r>
        <w:rPr>
          <w:lang w:eastAsia="ja-JP"/>
        </w:rPr>
        <w:tab/>
      </w:r>
      <w:r>
        <w:rPr>
          <w:lang w:eastAsia="ja-JP"/>
        </w:rPr>
        <w:t>Agreements</w:t>
      </w:r>
    </w:p>
    <w:p w14:paraId="77E3FDEF">
      <w:pPr>
        <w:pStyle w:val="4"/>
        <w:rPr>
          <w:lang w:eastAsia="ja-JP"/>
        </w:rPr>
      </w:pPr>
      <w:r>
        <w:rPr>
          <w:lang w:eastAsia="ja-JP"/>
        </w:rPr>
        <w:t>2.5.2</w:t>
      </w:r>
      <w:r>
        <w:rPr>
          <w:lang w:eastAsia="ja-JP"/>
        </w:rPr>
        <w:tab/>
      </w:r>
      <w:r>
        <w:rPr>
          <w:lang w:eastAsia="ja-JP"/>
        </w:rPr>
        <w:t>Remaining Open issues</w:t>
      </w:r>
    </w:p>
    <w:p w14:paraId="55CFC512">
      <w:pPr>
        <w:pStyle w:val="4"/>
        <w:rPr>
          <w:lang w:eastAsia="ja-JP"/>
        </w:rPr>
      </w:pPr>
      <w:r>
        <w:rPr>
          <w:lang w:eastAsia="ja-JP"/>
        </w:rPr>
        <w:t>2.5.3</w:t>
      </w:r>
      <w:r>
        <w:rPr>
          <w:lang w:eastAsia="ja-JP"/>
        </w:rPr>
        <w:tab/>
      </w:r>
      <w:r>
        <w:rPr>
          <w:lang w:eastAsia="ja-JP"/>
        </w:rPr>
        <w:t>Remaining Open issues with cross-WG dependencies</w:t>
      </w:r>
    </w:p>
    <w:p w14:paraId="0C7811F1">
      <w:pPr>
        <w:pStyle w:val="3"/>
        <w:rPr>
          <w:lang w:eastAsia="ja-JP"/>
        </w:rPr>
      </w:pPr>
      <w:r>
        <w:rPr>
          <w:lang w:eastAsia="ja-JP"/>
        </w:rPr>
        <w:t>2.6</w:t>
      </w:r>
      <w:r>
        <w:rPr>
          <w:lang w:eastAsia="ja-JP"/>
        </w:rPr>
        <w:tab/>
      </w:r>
      <w:r>
        <w:rPr>
          <w:rFonts w:hint="eastAsia"/>
          <w:lang w:eastAsia="ja-JP"/>
        </w:rPr>
        <w:t>RAN6</w:t>
      </w:r>
    </w:p>
    <w:p w14:paraId="46454998">
      <w:pPr>
        <w:pStyle w:val="4"/>
        <w:rPr>
          <w:lang w:eastAsia="ja-JP"/>
        </w:rPr>
      </w:pPr>
      <w:r>
        <w:rPr>
          <w:lang w:eastAsia="ja-JP"/>
        </w:rPr>
        <w:t>2.6.1</w:t>
      </w:r>
      <w:r>
        <w:rPr>
          <w:lang w:eastAsia="ja-JP"/>
        </w:rPr>
        <w:tab/>
      </w:r>
      <w:r>
        <w:rPr>
          <w:lang w:eastAsia="ja-JP"/>
        </w:rPr>
        <w:t>Agreements</w:t>
      </w:r>
    </w:p>
    <w:p w14:paraId="1BC53A9F">
      <w:pPr>
        <w:pStyle w:val="4"/>
        <w:rPr>
          <w:lang w:eastAsia="ja-JP"/>
        </w:rPr>
      </w:pPr>
      <w:r>
        <w:rPr>
          <w:lang w:eastAsia="ja-JP"/>
        </w:rPr>
        <w:t>2.6.2</w:t>
      </w:r>
      <w:r>
        <w:rPr>
          <w:lang w:eastAsia="ja-JP"/>
        </w:rPr>
        <w:tab/>
      </w:r>
      <w:r>
        <w:rPr>
          <w:lang w:eastAsia="ja-JP"/>
        </w:rPr>
        <w:t>Remaining Open issues</w:t>
      </w:r>
    </w:p>
    <w:p w14:paraId="2C866F08">
      <w:pPr>
        <w:pStyle w:val="2"/>
      </w:pPr>
      <w:r>
        <w:t>3.</w:t>
      </w:r>
      <w:r>
        <w:tab/>
      </w:r>
      <w:r>
        <w:t>Detailed progress in SA/CT WGs since last TSG meeting (for all involved WGs)</w:t>
      </w:r>
    </w:p>
    <w:p w14:paraId="001D4596">
      <w:pPr>
        <w:pStyle w:val="3"/>
        <w:rPr>
          <w:lang w:eastAsia="ja-JP"/>
        </w:rPr>
      </w:pPr>
      <w:r>
        <w:rPr>
          <w:lang w:eastAsia="ja-JP"/>
        </w:rPr>
        <w:t>3.1</w:t>
      </w:r>
      <w:r>
        <w:rPr>
          <w:lang w:eastAsia="ja-JP"/>
        </w:rPr>
        <w:tab/>
      </w:r>
      <w:r>
        <w:rPr>
          <w:lang w:eastAsia="ja-JP"/>
        </w:rPr>
        <w:t>SAx/CTs</w:t>
      </w:r>
    </w:p>
    <w:p w14:paraId="2871FA7E">
      <w:pPr>
        <w:pStyle w:val="4"/>
        <w:rPr>
          <w:lang w:eastAsia="ja-JP"/>
        </w:rPr>
      </w:pPr>
      <w:r>
        <w:rPr>
          <w:lang w:eastAsia="ja-JP"/>
        </w:rPr>
        <w:t>3.1.1</w:t>
      </w:r>
      <w:r>
        <w:rPr>
          <w:lang w:eastAsia="ja-JP"/>
        </w:rPr>
        <w:tab/>
      </w:r>
      <w:r>
        <w:rPr>
          <w:lang w:eastAsia="ja-JP"/>
        </w:rPr>
        <w:t>Agreements with cross-TSG impacts</w:t>
      </w:r>
    </w:p>
    <w:p w14:paraId="2E833528">
      <w:pPr>
        <w:pStyle w:val="4"/>
        <w:rPr>
          <w:lang w:eastAsia="ja-JP"/>
        </w:rPr>
      </w:pPr>
      <w:r>
        <w:rPr>
          <w:lang w:eastAsia="ja-JP"/>
        </w:rPr>
        <w:t>3.1.2</w:t>
      </w:r>
      <w:r>
        <w:rPr>
          <w:lang w:eastAsia="ja-JP"/>
        </w:rPr>
        <w:tab/>
      </w:r>
      <w:r>
        <w:rPr>
          <w:lang w:eastAsia="ja-JP"/>
        </w:rPr>
        <w:t>Remaining Open issues with cross-TSG impacts</w:t>
      </w:r>
    </w:p>
    <w:p w14:paraId="4F879006">
      <w:pPr>
        <w:pStyle w:val="2"/>
      </w:pPr>
      <w:r>
        <w:t>4.</w:t>
      </w:r>
      <w:r>
        <w:tab/>
      </w:r>
      <w:r>
        <w:t>References</w:t>
      </w:r>
    </w:p>
    <w:p w14:paraId="3B6C1703">
      <w:pPr>
        <w:pStyle w:val="3"/>
        <w:ind w:left="0" w:firstLine="0"/>
        <w:rPr>
          <w:rFonts w:eastAsiaTheme="minorEastAsia"/>
          <w:lang w:eastAsia="zh-CN"/>
        </w:rPr>
      </w:pPr>
      <w:r>
        <w:rPr>
          <w:rFonts w:hint="eastAsia" w:eastAsiaTheme="minorEastAsia"/>
          <w:lang w:eastAsia="zh-CN"/>
        </w:rPr>
        <w:t>RAN4#11</w:t>
      </w:r>
      <w:r>
        <w:rPr>
          <w:rFonts w:hint="eastAsia" w:eastAsiaTheme="minorEastAsia"/>
          <w:lang w:val="en-US" w:eastAsia="zh-CN"/>
        </w:rPr>
        <w:t>4</w:t>
      </w:r>
    </w:p>
    <w:p w14:paraId="2CA4D101">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R4-2500074</w:t>
      </w:r>
      <w:r>
        <w:rPr>
          <w:rFonts w:hint="eastAsia"/>
          <w:kern w:val="2"/>
          <w:sz w:val="21"/>
          <w:lang w:val="en-US" w:eastAsia="zh-CN"/>
        </w:rPr>
        <w:tab/>
      </w:r>
      <w:r>
        <w:rPr>
          <w:rFonts w:hint="eastAsia"/>
          <w:kern w:val="2"/>
          <w:sz w:val="21"/>
          <w:lang w:val="en-US" w:eastAsia="zh-CN"/>
        </w:rPr>
        <w:t>Simplification of BS TRP test methods</w:t>
      </w:r>
      <w:r>
        <w:rPr>
          <w:rFonts w:hint="eastAsia"/>
          <w:kern w:val="2"/>
          <w:sz w:val="21"/>
          <w:lang w:val="en-US" w:eastAsia="zh-CN"/>
        </w:rPr>
        <w:tab/>
      </w:r>
      <w:r>
        <w:rPr>
          <w:rFonts w:hint="eastAsia"/>
          <w:kern w:val="2"/>
          <w:sz w:val="21"/>
          <w:lang w:val="en-US" w:eastAsia="zh-CN"/>
        </w:rPr>
        <w:t>Nokia</w:t>
      </w:r>
    </w:p>
    <w:p w14:paraId="3A691CC5">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R4-2500199</w:t>
      </w:r>
      <w:r>
        <w:rPr>
          <w:rFonts w:hint="eastAsia"/>
          <w:kern w:val="2"/>
          <w:sz w:val="21"/>
          <w:lang w:val="en-US" w:eastAsia="zh-CN"/>
        </w:rPr>
        <w:tab/>
      </w:r>
      <w:r>
        <w:rPr>
          <w:rFonts w:hint="eastAsia"/>
          <w:kern w:val="2"/>
          <w:sz w:val="21"/>
          <w:lang w:val="en-US" w:eastAsia="zh-CN"/>
        </w:rPr>
        <w:t>Draft CR to TS 38.106 for introduction of expected EIRP mask core requirement for NCR</w:t>
      </w:r>
      <w:r>
        <w:rPr>
          <w:rFonts w:hint="eastAsia"/>
          <w:kern w:val="2"/>
          <w:sz w:val="21"/>
          <w:lang w:val="en-US" w:eastAsia="zh-CN"/>
        </w:rPr>
        <w:tab/>
      </w:r>
      <w:r>
        <w:rPr>
          <w:rFonts w:hint="eastAsia"/>
          <w:kern w:val="2"/>
          <w:sz w:val="21"/>
          <w:lang w:val="en-US" w:eastAsia="zh-CN"/>
        </w:rPr>
        <w:t>Nokia</w:t>
      </w:r>
    </w:p>
    <w:p w14:paraId="607F26A2">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R4-2500202</w:t>
      </w:r>
      <w:r>
        <w:rPr>
          <w:rFonts w:hint="eastAsia"/>
          <w:kern w:val="2"/>
          <w:sz w:val="21"/>
          <w:lang w:val="en-US" w:eastAsia="zh-CN"/>
        </w:rPr>
        <w:tab/>
      </w:r>
      <w:r>
        <w:rPr>
          <w:rFonts w:hint="eastAsia"/>
          <w:kern w:val="2"/>
          <w:sz w:val="21"/>
          <w:lang w:val="en-US" w:eastAsia="zh-CN"/>
        </w:rPr>
        <w:t>On BS OTA test scope reduction</w:t>
      </w:r>
      <w:r>
        <w:rPr>
          <w:rFonts w:hint="eastAsia"/>
          <w:kern w:val="2"/>
          <w:sz w:val="21"/>
          <w:lang w:val="en-US" w:eastAsia="zh-CN"/>
        </w:rPr>
        <w:tab/>
      </w:r>
      <w:r>
        <w:rPr>
          <w:rFonts w:hint="eastAsia"/>
          <w:kern w:val="2"/>
          <w:sz w:val="21"/>
          <w:lang w:val="en-US" w:eastAsia="zh-CN"/>
        </w:rPr>
        <w:t>Nokia</w:t>
      </w:r>
    </w:p>
    <w:p w14:paraId="7A95CD3F">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R4-2500203</w:t>
      </w:r>
      <w:r>
        <w:rPr>
          <w:rFonts w:hint="eastAsia"/>
          <w:kern w:val="2"/>
          <w:sz w:val="21"/>
          <w:lang w:val="en-US" w:eastAsia="zh-CN"/>
        </w:rPr>
        <w:tab/>
      </w:r>
      <w:r>
        <w:rPr>
          <w:rFonts w:hint="eastAsia"/>
          <w:kern w:val="2"/>
          <w:sz w:val="21"/>
          <w:lang w:val="en-US" w:eastAsia="zh-CN"/>
        </w:rPr>
        <w:t>Conformance testing of Expected EIRP mask requirement</w:t>
      </w:r>
      <w:r>
        <w:rPr>
          <w:rFonts w:hint="eastAsia"/>
          <w:kern w:val="2"/>
          <w:sz w:val="21"/>
          <w:lang w:val="en-US" w:eastAsia="zh-CN"/>
        </w:rPr>
        <w:tab/>
      </w:r>
      <w:r>
        <w:rPr>
          <w:rFonts w:hint="eastAsia"/>
          <w:kern w:val="2"/>
          <w:sz w:val="21"/>
          <w:lang w:val="en-US" w:eastAsia="zh-CN"/>
        </w:rPr>
        <w:t>Nokia</w:t>
      </w:r>
    </w:p>
    <w:p w14:paraId="6252B7D1">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R4-2500510</w:t>
      </w:r>
      <w:r>
        <w:rPr>
          <w:rFonts w:hint="eastAsia"/>
          <w:kern w:val="2"/>
          <w:sz w:val="21"/>
          <w:lang w:val="en-US" w:eastAsia="zh-CN"/>
        </w:rPr>
        <w:tab/>
      </w:r>
      <w:r>
        <w:rPr>
          <w:rFonts w:hint="eastAsia"/>
          <w:kern w:val="2"/>
          <w:sz w:val="21"/>
          <w:lang w:val="en-US" w:eastAsia="zh-CN"/>
        </w:rPr>
        <w:t>Inclusion of Plane Wave Synthesizer (PWS) method for Expected EIRP test procedures</w:t>
      </w:r>
      <w:r>
        <w:rPr>
          <w:rFonts w:hint="eastAsia"/>
          <w:kern w:val="2"/>
          <w:sz w:val="21"/>
          <w:lang w:val="en-US" w:eastAsia="zh-CN"/>
        </w:rPr>
        <w:tab/>
      </w:r>
      <w:r>
        <w:rPr>
          <w:rFonts w:hint="eastAsia"/>
          <w:kern w:val="2"/>
          <w:sz w:val="21"/>
          <w:lang w:val="en-US" w:eastAsia="zh-CN"/>
        </w:rPr>
        <w:t>ROHDE &amp; SCHWARZ</w:t>
      </w:r>
    </w:p>
    <w:p w14:paraId="275D72B7">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R4-2500548</w:t>
      </w:r>
      <w:r>
        <w:rPr>
          <w:rFonts w:hint="eastAsia"/>
          <w:kern w:val="2"/>
          <w:sz w:val="21"/>
          <w:lang w:val="en-US" w:eastAsia="zh-CN"/>
        </w:rPr>
        <w:tab/>
      </w:r>
      <w:r>
        <w:rPr>
          <w:rFonts w:hint="eastAsia"/>
          <w:kern w:val="2"/>
          <w:sz w:val="21"/>
          <w:lang w:val="en-US" w:eastAsia="zh-CN"/>
        </w:rPr>
        <w:t>Plane Wave Synthesizer (PWS) method inclusion for Expected EIRP test procedures</w:t>
      </w:r>
      <w:r>
        <w:rPr>
          <w:rFonts w:hint="eastAsia"/>
          <w:kern w:val="2"/>
          <w:sz w:val="21"/>
          <w:lang w:val="en-US" w:eastAsia="zh-CN"/>
        </w:rPr>
        <w:tab/>
      </w:r>
      <w:r>
        <w:rPr>
          <w:rFonts w:hint="eastAsia"/>
          <w:kern w:val="2"/>
          <w:sz w:val="21"/>
          <w:lang w:val="en-US" w:eastAsia="zh-CN"/>
        </w:rPr>
        <w:t>ROHDE &amp; SCHWARZ</w:t>
      </w:r>
    </w:p>
    <w:p w14:paraId="3D337BA0">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R4-2500563</w:t>
      </w:r>
      <w:r>
        <w:rPr>
          <w:rFonts w:hint="eastAsia"/>
          <w:kern w:val="2"/>
          <w:sz w:val="21"/>
          <w:lang w:val="en-US" w:eastAsia="zh-CN"/>
        </w:rPr>
        <w:tab/>
      </w:r>
      <w:r>
        <w:rPr>
          <w:rFonts w:hint="eastAsia"/>
          <w:kern w:val="2"/>
          <w:sz w:val="21"/>
          <w:lang w:val="en-US" w:eastAsia="zh-CN"/>
        </w:rPr>
        <w:t>Topic summary for [114][302] NR_BS_RF_Part1_E_EIRP</w:t>
      </w:r>
      <w:r>
        <w:rPr>
          <w:rFonts w:hint="eastAsia"/>
          <w:kern w:val="2"/>
          <w:sz w:val="21"/>
          <w:lang w:val="en-US" w:eastAsia="zh-CN"/>
        </w:rPr>
        <w:tab/>
      </w:r>
      <w:r>
        <w:rPr>
          <w:rFonts w:hint="eastAsia"/>
          <w:kern w:val="2"/>
          <w:sz w:val="21"/>
          <w:lang w:val="en-US" w:eastAsia="zh-CN"/>
        </w:rPr>
        <w:t>Moderator (ZTE)</w:t>
      </w:r>
    </w:p>
    <w:p w14:paraId="24B1F993">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R4-2500564</w:t>
      </w:r>
      <w:r>
        <w:rPr>
          <w:rFonts w:hint="eastAsia"/>
          <w:kern w:val="2"/>
          <w:sz w:val="21"/>
          <w:lang w:val="en-US" w:eastAsia="zh-CN"/>
        </w:rPr>
        <w:tab/>
      </w:r>
      <w:r>
        <w:rPr>
          <w:rFonts w:hint="eastAsia"/>
          <w:kern w:val="2"/>
          <w:sz w:val="21"/>
          <w:lang w:val="en-US" w:eastAsia="zh-CN"/>
        </w:rPr>
        <w:t>Topic summary for [114][303] NR_BS_RF_Part2_CLTA</w:t>
      </w:r>
      <w:r>
        <w:rPr>
          <w:rFonts w:hint="eastAsia"/>
          <w:kern w:val="2"/>
          <w:sz w:val="21"/>
          <w:lang w:val="en-US" w:eastAsia="zh-CN"/>
        </w:rPr>
        <w:tab/>
      </w:r>
      <w:r>
        <w:rPr>
          <w:rFonts w:hint="eastAsia"/>
          <w:kern w:val="2"/>
          <w:sz w:val="21"/>
          <w:lang w:val="en-US" w:eastAsia="zh-CN"/>
        </w:rPr>
        <w:t>Moderator (Huawei)</w:t>
      </w:r>
    </w:p>
    <w:p w14:paraId="51D5D46C">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R4-2500565</w:t>
      </w:r>
      <w:r>
        <w:rPr>
          <w:rFonts w:hint="eastAsia"/>
          <w:kern w:val="2"/>
          <w:sz w:val="21"/>
          <w:lang w:val="en-US" w:eastAsia="zh-CN"/>
        </w:rPr>
        <w:tab/>
      </w:r>
      <w:r>
        <w:rPr>
          <w:rFonts w:hint="eastAsia"/>
          <w:kern w:val="2"/>
          <w:sz w:val="21"/>
          <w:lang w:val="en-US" w:eastAsia="zh-CN"/>
        </w:rPr>
        <w:t>Topic summary for [114][304] NR_BS_RF_Part3_OTA_TRP</w:t>
      </w:r>
      <w:r>
        <w:rPr>
          <w:rFonts w:hint="eastAsia"/>
          <w:kern w:val="2"/>
          <w:sz w:val="21"/>
          <w:lang w:val="en-US" w:eastAsia="zh-CN"/>
        </w:rPr>
        <w:tab/>
      </w:r>
      <w:r>
        <w:rPr>
          <w:rFonts w:hint="eastAsia"/>
          <w:kern w:val="2"/>
          <w:sz w:val="21"/>
          <w:lang w:val="en-US" w:eastAsia="zh-CN"/>
        </w:rPr>
        <w:t>Moderator (ZTE)</w:t>
      </w:r>
    </w:p>
    <w:p w14:paraId="6FFDB6B5">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R4-2500881</w:t>
      </w:r>
      <w:r>
        <w:rPr>
          <w:rFonts w:hint="eastAsia"/>
          <w:kern w:val="2"/>
          <w:sz w:val="21"/>
          <w:lang w:val="en-US" w:eastAsia="zh-CN"/>
        </w:rPr>
        <w:tab/>
      </w:r>
      <w:r>
        <w:rPr>
          <w:rFonts w:hint="eastAsia"/>
          <w:kern w:val="2"/>
          <w:sz w:val="21"/>
          <w:lang w:val="en-US" w:eastAsia="zh-CN"/>
        </w:rPr>
        <w:t>General aspects related to BS RF evolution WI</w:t>
      </w:r>
      <w:r>
        <w:rPr>
          <w:rFonts w:hint="eastAsia"/>
          <w:kern w:val="2"/>
          <w:sz w:val="21"/>
          <w:lang w:val="en-US" w:eastAsia="zh-CN"/>
        </w:rPr>
        <w:tab/>
      </w:r>
      <w:r>
        <w:rPr>
          <w:rFonts w:hint="eastAsia"/>
          <w:kern w:val="2"/>
          <w:sz w:val="21"/>
          <w:lang w:val="en-US" w:eastAsia="zh-CN"/>
        </w:rPr>
        <w:t>Ericsson</w:t>
      </w:r>
    </w:p>
    <w:p w14:paraId="5A6FCCFA">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R4-2501033</w:t>
      </w:r>
      <w:r>
        <w:rPr>
          <w:rFonts w:hint="eastAsia"/>
          <w:kern w:val="2"/>
          <w:sz w:val="21"/>
          <w:lang w:val="en-US" w:eastAsia="zh-CN"/>
        </w:rPr>
        <w:tab/>
      </w:r>
      <w:r>
        <w:rPr>
          <w:rFonts w:hint="eastAsia"/>
          <w:kern w:val="2"/>
          <w:sz w:val="21"/>
          <w:lang w:val="en-US" w:eastAsia="zh-CN"/>
        </w:rPr>
        <w:t>Discussion on BS RF OTA test scope</w:t>
      </w:r>
      <w:r>
        <w:rPr>
          <w:rFonts w:hint="eastAsia"/>
          <w:kern w:val="2"/>
          <w:sz w:val="21"/>
          <w:lang w:val="en-US" w:eastAsia="zh-CN"/>
        </w:rPr>
        <w:tab/>
      </w:r>
      <w:r>
        <w:rPr>
          <w:rFonts w:hint="eastAsia"/>
          <w:kern w:val="2"/>
          <w:sz w:val="21"/>
          <w:lang w:val="en-US" w:eastAsia="zh-CN"/>
        </w:rPr>
        <w:t>CATT</w:t>
      </w:r>
    </w:p>
    <w:p w14:paraId="752B4885">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R4-2501165</w:t>
      </w:r>
      <w:r>
        <w:rPr>
          <w:rFonts w:hint="eastAsia"/>
          <w:kern w:val="2"/>
          <w:sz w:val="21"/>
          <w:lang w:val="en-US" w:eastAsia="zh-CN"/>
        </w:rPr>
        <w:tab/>
      </w:r>
      <w:r>
        <w:rPr>
          <w:rFonts w:hint="eastAsia"/>
          <w:kern w:val="2"/>
          <w:sz w:val="21"/>
          <w:lang w:val="en-US" w:eastAsia="zh-CN"/>
        </w:rPr>
        <w:t>TP to TR 38.908 clause 6.2 The calculation for EEIRP mask</w:t>
      </w:r>
      <w:r>
        <w:rPr>
          <w:rFonts w:hint="eastAsia"/>
          <w:kern w:val="2"/>
          <w:sz w:val="21"/>
          <w:lang w:val="en-US" w:eastAsia="zh-CN"/>
        </w:rPr>
        <w:tab/>
      </w:r>
      <w:r>
        <w:rPr>
          <w:rFonts w:hint="eastAsia"/>
          <w:kern w:val="2"/>
          <w:sz w:val="21"/>
          <w:lang w:val="en-US" w:eastAsia="zh-CN"/>
        </w:rPr>
        <w:t>Nokia</w:t>
      </w:r>
    </w:p>
    <w:p w14:paraId="2FFC25B6">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R4-2501166</w:t>
      </w:r>
      <w:r>
        <w:rPr>
          <w:rFonts w:hint="eastAsia"/>
          <w:kern w:val="2"/>
          <w:sz w:val="21"/>
          <w:lang w:val="en-US" w:eastAsia="zh-CN"/>
        </w:rPr>
        <w:tab/>
      </w:r>
      <w:r>
        <w:rPr>
          <w:rFonts w:hint="eastAsia"/>
          <w:kern w:val="2"/>
          <w:sz w:val="21"/>
          <w:lang w:val="en-US" w:eastAsia="zh-CN"/>
        </w:rPr>
        <w:t>TP to TR 38.908 clause 6.3 Test beams</w:t>
      </w:r>
      <w:r>
        <w:rPr>
          <w:rFonts w:hint="eastAsia"/>
          <w:kern w:val="2"/>
          <w:sz w:val="21"/>
          <w:lang w:val="en-US" w:eastAsia="zh-CN"/>
        </w:rPr>
        <w:tab/>
      </w:r>
      <w:r>
        <w:rPr>
          <w:rFonts w:hint="eastAsia"/>
          <w:kern w:val="2"/>
          <w:sz w:val="21"/>
          <w:lang w:val="en-US" w:eastAsia="zh-CN"/>
        </w:rPr>
        <w:t>Nokia</w:t>
      </w:r>
    </w:p>
    <w:p w14:paraId="71755D8D">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R4-2501190</w:t>
      </w:r>
      <w:r>
        <w:rPr>
          <w:rFonts w:hint="eastAsia"/>
          <w:kern w:val="2"/>
          <w:sz w:val="21"/>
          <w:lang w:val="en-US" w:eastAsia="zh-CN"/>
        </w:rPr>
        <w:tab/>
      </w:r>
      <w:r>
        <w:rPr>
          <w:rFonts w:hint="eastAsia"/>
          <w:kern w:val="2"/>
          <w:sz w:val="21"/>
          <w:lang w:val="en-US" w:eastAsia="zh-CN"/>
        </w:rPr>
        <w:t>Draft CR to TS 38.141-2 with updates to Annex N for Expected EIRP calculation</w:t>
      </w:r>
      <w:r>
        <w:rPr>
          <w:rFonts w:hint="eastAsia"/>
          <w:kern w:val="2"/>
          <w:sz w:val="21"/>
          <w:lang w:val="en-US" w:eastAsia="zh-CN"/>
        </w:rPr>
        <w:tab/>
      </w:r>
      <w:r>
        <w:rPr>
          <w:rFonts w:hint="eastAsia"/>
          <w:kern w:val="2"/>
          <w:sz w:val="21"/>
          <w:lang w:val="en-US" w:eastAsia="zh-CN"/>
        </w:rPr>
        <w:t>Nokia</w:t>
      </w:r>
    </w:p>
    <w:p w14:paraId="138A9D5A">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R4-2501191</w:t>
      </w:r>
      <w:r>
        <w:rPr>
          <w:rFonts w:hint="eastAsia"/>
          <w:kern w:val="2"/>
          <w:sz w:val="21"/>
          <w:lang w:val="en-US" w:eastAsia="zh-CN"/>
        </w:rPr>
        <w:tab/>
      </w:r>
      <w:r>
        <w:rPr>
          <w:rFonts w:hint="eastAsia"/>
          <w:kern w:val="2"/>
          <w:sz w:val="21"/>
          <w:lang w:val="en-US" w:eastAsia="zh-CN"/>
        </w:rPr>
        <w:t>Draft CR to TS 38.141-2 with updates to OTA spatial emission requirement test procedure</w:t>
      </w:r>
      <w:r>
        <w:rPr>
          <w:rFonts w:hint="eastAsia"/>
          <w:kern w:val="2"/>
          <w:sz w:val="21"/>
          <w:lang w:val="en-US" w:eastAsia="zh-CN"/>
        </w:rPr>
        <w:tab/>
      </w:r>
      <w:r>
        <w:rPr>
          <w:rFonts w:hint="eastAsia"/>
          <w:kern w:val="2"/>
          <w:sz w:val="21"/>
          <w:lang w:val="en-US" w:eastAsia="zh-CN"/>
        </w:rPr>
        <w:t>Nokia</w:t>
      </w:r>
    </w:p>
    <w:p w14:paraId="3724B22F">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R4-2501323</w:t>
      </w:r>
      <w:r>
        <w:rPr>
          <w:rFonts w:hint="eastAsia"/>
          <w:kern w:val="2"/>
          <w:sz w:val="21"/>
          <w:lang w:val="en-US" w:eastAsia="zh-CN"/>
        </w:rPr>
        <w:tab/>
      </w:r>
      <w:r>
        <w:rPr>
          <w:rFonts w:hint="eastAsia"/>
          <w:kern w:val="2"/>
          <w:sz w:val="21"/>
          <w:lang w:val="en-US" w:eastAsia="zh-CN"/>
        </w:rPr>
        <w:t>On OTA test enhancements</w:t>
      </w:r>
      <w:r>
        <w:rPr>
          <w:rFonts w:hint="eastAsia"/>
          <w:kern w:val="2"/>
          <w:sz w:val="21"/>
          <w:lang w:val="en-US" w:eastAsia="zh-CN"/>
        </w:rPr>
        <w:tab/>
      </w:r>
      <w:r>
        <w:rPr>
          <w:rFonts w:hint="eastAsia"/>
          <w:kern w:val="2"/>
          <w:sz w:val="21"/>
          <w:lang w:val="en-US" w:eastAsia="zh-CN"/>
        </w:rPr>
        <w:t>Nokia</w:t>
      </w:r>
    </w:p>
    <w:p w14:paraId="28AEA36D">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R4-2501647</w:t>
      </w:r>
      <w:r>
        <w:rPr>
          <w:rFonts w:hint="eastAsia"/>
          <w:kern w:val="2"/>
          <w:sz w:val="21"/>
          <w:lang w:val="en-US" w:eastAsia="zh-CN"/>
        </w:rPr>
        <w:tab/>
      </w:r>
      <w:r>
        <w:rPr>
          <w:rFonts w:hint="eastAsia"/>
          <w:kern w:val="2"/>
          <w:sz w:val="21"/>
          <w:lang w:val="en-US" w:eastAsia="zh-CN"/>
        </w:rPr>
        <w:t>TS 38.141-2 Annex I: Discussion on improvement of TRP measurement methods</w:t>
      </w:r>
      <w:r>
        <w:rPr>
          <w:rFonts w:hint="eastAsia"/>
          <w:kern w:val="2"/>
          <w:sz w:val="21"/>
          <w:lang w:val="en-US" w:eastAsia="zh-CN"/>
        </w:rPr>
        <w:tab/>
      </w:r>
      <w:r>
        <w:rPr>
          <w:rFonts w:hint="eastAsia"/>
          <w:kern w:val="2"/>
          <w:sz w:val="21"/>
          <w:lang w:val="en-US" w:eastAsia="zh-CN"/>
        </w:rPr>
        <w:t>Ericsson</w:t>
      </w:r>
    </w:p>
    <w:p w14:paraId="33C050A9">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R4-2501648</w:t>
      </w:r>
      <w:r>
        <w:rPr>
          <w:rFonts w:hint="eastAsia"/>
          <w:kern w:val="2"/>
          <w:sz w:val="21"/>
          <w:lang w:val="en-US" w:eastAsia="zh-CN"/>
        </w:rPr>
        <w:tab/>
      </w:r>
      <w:r>
        <w:rPr>
          <w:rFonts w:hint="eastAsia"/>
          <w:kern w:val="2"/>
          <w:sz w:val="21"/>
          <w:lang w:val="en-US" w:eastAsia="zh-CN"/>
        </w:rPr>
        <w:t>TP for TR 38.908: Conformance test aspects for EEIRP</w:t>
      </w:r>
      <w:r>
        <w:rPr>
          <w:rFonts w:hint="eastAsia"/>
          <w:kern w:val="2"/>
          <w:sz w:val="21"/>
          <w:lang w:val="en-US" w:eastAsia="zh-CN"/>
        </w:rPr>
        <w:tab/>
      </w:r>
      <w:r>
        <w:rPr>
          <w:rFonts w:hint="eastAsia"/>
          <w:kern w:val="2"/>
          <w:sz w:val="21"/>
          <w:lang w:val="en-US" w:eastAsia="zh-CN"/>
        </w:rPr>
        <w:t>Ericsson</w:t>
      </w:r>
    </w:p>
    <w:p w14:paraId="2FDA6DDD">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R4-2501649</w:t>
      </w:r>
      <w:r>
        <w:rPr>
          <w:rFonts w:hint="eastAsia"/>
          <w:kern w:val="2"/>
          <w:sz w:val="21"/>
          <w:lang w:val="en-US" w:eastAsia="zh-CN"/>
        </w:rPr>
        <w:tab/>
      </w:r>
      <w:r>
        <w:rPr>
          <w:rFonts w:hint="eastAsia"/>
          <w:kern w:val="2"/>
          <w:sz w:val="21"/>
          <w:lang w:val="en-US" w:eastAsia="zh-CN"/>
        </w:rPr>
        <w:t>TP for TS 38.141-2: Addition of spatial emission requirement to protect FSS UL within band n104</w:t>
      </w:r>
      <w:r>
        <w:rPr>
          <w:rFonts w:hint="eastAsia"/>
          <w:kern w:val="2"/>
          <w:sz w:val="21"/>
          <w:lang w:val="en-US" w:eastAsia="zh-CN"/>
        </w:rPr>
        <w:tab/>
      </w:r>
      <w:r>
        <w:rPr>
          <w:rFonts w:hint="eastAsia"/>
          <w:kern w:val="2"/>
          <w:sz w:val="21"/>
          <w:lang w:val="en-US" w:eastAsia="zh-CN"/>
        </w:rPr>
        <w:t>Ericsson</w:t>
      </w:r>
    </w:p>
    <w:p w14:paraId="52746F52">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R4-2501850</w:t>
      </w:r>
      <w:r>
        <w:rPr>
          <w:rFonts w:hint="eastAsia"/>
          <w:kern w:val="2"/>
          <w:sz w:val="21"/>
          <w:lang w:val="en-US" w:eastAsia="zh-CN"/>
        </w:rPr>
        <w:tab/>
      </w:r>
      <w:r>
        <w:rPr>
          <w:rFonts w:hint="eastAsia"/>
          <w:kern w:val="2"/>
          <w:sz w:val="21"/>
          <w:lang w:val="en-US" w:eastAsia="zh-CN"/>
        </w:rPr>
        <w:t>Further discussion on Expected EIRP test</w:t>
      </w:r>
      <w:r>
        <w:rPr>
          <w:rFonts w:hint="eastAsia"/>
          <w:kern w:val="2"/>
          <w:sz w:val="21"/>
          <w:lang w:val="en-US" w:eastAsia="zh-CN"/>
        </w:rPr>
        <w:tab/>
      </w:r>
      <w:r>
        <w:rPr>
          <w:rFonts w:hint="eastAsia"/>
          <w:kern w:val="2"/>
          <w:sz w:val="21"/>
          <w:lang w:val="en-US" w:eastAsia="zh-CN"/>
        </w:rPr>
        <w:t>Huawei, HiSilicon</w:t>
      </w:r>
    </w:p>
    <w:p w14:paraId="4C2DC532">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R4-2501851</w:t>
      </w:r>
      <w:r>
        <w:rPr>
          <w:rFonts w:hint="eastAsia"/>
          <w:kern w:val="2"/>
          <w:sz w:val="21"/>
          <w:lang w:val="en-US" w:eastAsia="zh-CN"/>
        </w:rPr>
        <w:tab/>
      </w:r>
      <w:r>
        <w:rPr>
          <w:rFonts w:hint="eastAsia"/>
          <w:kern w:val="2"/>
          <w:sz w:val="21"/>
          <w:lang w:val="en-US" w:eastAsia="zh-CN"/>
        </w:rPr>
        <w:t>Expected EIRP conformance declarations</w:t>
      </w:r>
      <w:r>
        <w:rPr>
          <w:rFonts w:hint="eastAsia"/>
          <w:kern w:val="2"/>
          <w:sz w:val="21"/>
          <w:lang w:val="en-US" w:eastAsia="zh-CN"/>
        </w:rPr>
        <w:tab/>
      </w:r>
      <w:r>
        <w:rPr>
          <w:rFonts w:hint="eastAsia"/>
          <w:kern w:val="2"/>
          <w:sz w:val="21"/>
          <w:lang w:val="en-US" w:eastAsia="zh-CN"/>
        </w:rPr>
        <w:t>Huawei, HiSilicon</w:t>
      </w:r>
    </w:p>
    <w:p w14:paraId="0F1A1093">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R4-2501852</w:t>
      </w:r>
      <w:r>
        <w:rPr>
          <w:rFonts w:hint="eastAsia"/>
          <w:kern w:val="2"/>
          <w:sz w:val="21"/>
          <w:lang w:val="en-US" w:eastAsia="zh-CN"/>
        </w:rPr>
        <w:tab/>
      </w:r>
      <w:r>
        <w:rPr>
          <w:rFonts w:hint="eastAsia"/>
          <w:kern w:val="2"/>
          <w:sz w:val="21"/>
          <w:lang w:val="en-US" w:eastAsia="zh-CN"/>
        </w:rPr>
        <w:t>TP to TR 38.908 – section 6.5</w:t>
      </w:r>
      <w:r>
        <w:rPr>
          <w:rFonts w:hint="eastAsia"/>
          <w:kern w:val="2"/>
          <w:sz w:val="21"/>
          <w:lang w:val="en-US" w:eastAsia="zh-CN"/>
        </w:rPr>
        <w:tab/>
      </w:r>
      <w:r>
        <w:rPr>
          <w:rFonts w:hint="eastAsia"/>
          <w:kern w:val="2"/>
          <w:sz w:val="21"/>
          <w:lang w:val="en-US" w:eastAsia="zh-CN"/>
        </w:rPr>
        <w:t>Huawei, HiSilicon</w:t>
      </w:r>
    </w:p>
    <w:p w14:paraId="51B35476">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R4-2501853</w:t>
      </w:r>
      <w:r>
        <w:rPr>
          <w:rFonts w:hint="eastAsia"/>
          <w:kern w:val="2"/>
          <w:sz w:val="21"/>
          <w:lang w:val="en-US" w:eastAsia="zh-CN"/>
        </w:rPr>
        <w:tab/>
      </w:r>
      <w:r>
        <w:rPr>
          <w:rFonts w:hint="eastAsia"/>
          <w:kern w:val="2"/>
          <w:sz w:val="21"/>
          <w:lang w:val="en-US" w:eastAsia="zh-CN"/>
        </w:rPr>
        <w:t>TP to TR 38.908 – section 6.6</w:t>
      </w:r>
      <w:r>
        <w:rPr>
          <w:rFonts w:hint="eastAsia"/>
          <w:kern w:val="2"/>
          <w:sz w:val="21"/>
          <w:lang w:val="en-US" w:eastAsia="zh-CN"/>
        </w:rPr>
        <w:tab/>
      </w:r>
      <w:r>
        <w:rPr>
          <w:rFonts w:hint="eastAsia"/>
          <w:kern w:val="2"/>
          <w:sz w:val="21"/>
          <w:lang w:val="en-US" w:eastAsia="zh-CN"/>
        </w:rPr>
        <w:t>Huawei, HiSilicon</w:t>
      </w:r>
    </w:p>
    <w:p w14:paraId="74CFA1AB">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R4-2501854</w:t>
      </w:r>
      <w:r>
        <w:rPr>
          <w:rFonts w:hint="eastAsia"/>
          <w:kern w:val="2"/>
          <w:sz w:val="21"/>
          <w:lang w:val="en-US" w:eastAsia="zh-CN"/>
        </w:rPr>
        <w:tab/>
      </w:r>
      <w:r>
        <w:rPr>
          <w:rFonts w:hint="eastAsia"/>
          <w:kern w:val="2"/>
          <w:sz w:val="21"/>
          <w:lang w:val="en-US" w:eastAsia="zh-CN"/>
        </w:rPr>
        <w:t>OTA test case reduction</w:t>
      </w:r>
      <w:r>
        <w:rPr>
          <w:rFonts w:hint="eastAsia"/>
          <w:kern w:val="2"/>
          <w:sz w:val="21"/>
          <w:lang w:val="en-US" w:eastAsia="zh-CN"/>
        </w:rPr>
        <w:tab/>
      </w:r>
      <w:r>
        <w:rPr>
          <w:rFonts w:hint="eastAsia"/>
          <w:kern w:val="2"/>
          <w:sz w:val="21"/>
          <w:lang w:val="en-US" w:eastAsia="zh-CN"/>
        </w:rPr>
        <w:t>Huawei, HiSilicon</w:t>
      </w:r>
    </w:p>
    <w:p w14:paraId="386EFA90">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R4-2501874</w:t>
      </w:r>
      <w:r>
        <w:rPr>
          <w:rFonts w:hint="eastAsia"/>
          <w:kern w:val="2"/>
          <w:sz w:val="21"/>
          <w:lang w:val="en-US" w:eastAsia="zh-CN"/>
        </w:rPr>
        <w:tab/>
      </w:r>
      <w:r>
        <w:rPr>
          <w:rFonts w:hint="eastAsia"/>
          <w:kern w:val="2"/>
          <w:sz w:val="21"/>
          <w:lang w:val="en-US" w:eastAsia="zh-CN"/>
        </w:rPr>
        <w:t>TR 38.908 v1.3.0 Protection of fixed satellite service (FSS) UL within 6425 to 7125 MHz</w:t>
      </w:r>
      <w:r>
        <w:rPr>
          <w:rFonts w:hint="eastAsia"/>
          <w:kern w:val="2"/>
          <w:sz w:val="21"/>
          <w:lang w:val="en-US" w:eastAsia="zh-CN"/>
        </w:rPr>
        <w:tab/>
      </w:r>
      <w:r>
        <w:rPr>
          <w:rFonts w:hint="eastAsia"/>
          <w:kern w:val="2"/>
          <w:sz w:val="21"/>
          <w:lang w:val="en-US" w:eastAsia="zh-CN"/>
        </w:rPr>
        <w:t>ZTE Corporation, Sanechips</w:t>
      </w:r>
    </w:p>
    <w:p w14:paraId="29B68E8D">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R4-2501875</w:t>
      </w:r>
      <w:r>
        <w:rPr>
          <w:rFonts w:hint="eastAsia"/>
          <w:kern w:val="2"/>
          <w:sz w:val="21"/>
          <w:lang w:val="en-US" w:eastAsia="zh-CN"/>
        </w:rPr>
        <w:tab/>
      </w:r>
      <w:r>
        <w:rPr>
          <w:rFonts w:hint="eastAsia"/>
          <w:kern w:val="2"/>
          <w:sz w:val="21"/>
          <w:lang w:val="en-US" w:eastAsia="zh-CN"/>
        </w:rPr>
        <w:t>Further discussion on OTA test enhancement</w:t>
      </w:r>
      <w:r>
        <w:rPr>
          <w:rFonts w:hint="eastAsia"/>
          <w:kern w:val="2"/>
          <w:sz w:val="21"/>
          <w:lang w:val="en-US" w:eastAsia="zh-CN"/>
        </w:rPr>
        <w:tab/>
      </w:r>
      <w:r>
        <w:rPr>
          <w:rFonts w:hint="eastAsia"/>
          <w:kern w:val="2"/>
          <w:sz w:val="21"/>
          <w:lang w:val="en-US" w:eastAsia="zh-CN"/>
        </w:rPr>
        <w:t>ZTE Corporation, Sanechips</w:t>
      </w:r>
    </w:p>
    <w:p w14:paraId="4E903082">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R4-2501876</w:t>
      </w:r>
      <w:r>
        <w:rPr>
          <w:rFonts w:hint="eastAsia"/>
          <w:kern w:val="2"/>
          <w:sz w:val="21"/>
          <w:lang w:val="en-US" w:eastAsia="zh-CN"/>
        </w:rPr>
        <w:tab/>
      </w:r>
      <w:r>
        <w:rPr>
          <w:rFonts w:hint="eastAsia"/>
          <w:kern w:val="2"/>
          <w:sz w:val="21"/>
          <w:lang w:val="en-US" w:eastAsia="zh-CN"/>
        </w:rPr>
        <w:t>Discussion on conformance testing for U6GHz BS EEIRP mask</w:t>
      </w:r>
      <w:r>
        <w:rPr>
          <w:rFonts w:hint="eastAsia"/>
          <w:kern w:val="2"/>
          <w:sz w:val="21"/>
          <w:lang w:val="en-US" w:eastAsia="zh-CN"/>
        </w:rPr>
        <w:tab/>
      </w:r>
      <w:r>
        <w:rPr>
          <w:rFonts w:hint="eastAsia"/>
          <w:kern w:val="2"/>
          <w:sz w:val="21"/>
          <w:lang w:val="en-US" w:eastAsia="zh-CN"/>
        </w:rPr>
        <w:t>ZTE Corporation, Sanechips</w:t>
      </w:r>
    </w:p>
    <w:p w14:paraId="7CFCE9FF">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R4-2501877</w:t>
      </w:r>
      <w:r>
        <w:rPr>
          <w:rFonts w:hint="eastAsia"/>
          <w:kern w:val="2"/>
          <w:sz w:val="21"/>
          <w:lang w:val="en-US" w:eastAsia="zh-CN"/>
        </w:rPr>
        <w:tab/>
      </w:r>
      <w:r>
        <w:rPr>
          <w:rFonts w:hint="eastAsia"/>
          <w:kern w:val="2"/>
          <w:sz w:val="21"/>
          <w:lang w:val="en-US" w:eastAsia="zh-CN"/>
        </w:rPr>
        <w:t>Draft CR for introduction of U6GHz EIRP conformance testing</w:t>
      </w:r>
      <w:r>
        <w:rPr>
          <w:rFonts w:hint="eastAsia"/>
          <w:kern w:val="2"/>
          <w:sz w:val="21"/>
          <w:lang w:val="en-US" w:eastAsia="zh-CN"/>
        </w:rPr>
        <w:tab/>
      </w:r>
      <w:r>
        <w:rPr>
          <w:rFonts w:hint="eastAsia"/>
          <w:kern w:val="2"/>
          <w:sz w:val="21"/>
          <w:lang w:val="en-US" w:eastAsia="zh-CN"/>
        </w:rPr>
        <w:t>ZTE Corporation, Sanechips</w:t>
      </w:r>
    </w:p>
    <w:p w14:paraId="168910E2">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R4-2501878</w:t>
      </w:r>
      <w:r>
        <w:rPr>
          <w:rFonts w:hint="eastAsia"/>
          <w:kern w:val="2"/>
          <w:sz w:val="21"/>
          <w:lang w:val="en-US" w:eastAsia="zh-CN"/>
        </w:rPr>
        <w:tab/>
      </w:r>
      <w:r>
        <w:rPr>
          <w:rFonts w:hint="eastAsia"/>
          <w:kern w:val="2"/>
          <w:sz w:val="21"/>
          <w:lang w:val="en-US" w:eastAsia="zh-CN"/>
        </w:rPr>
        <w:t>Discussion on the OTA testing scope reduction</w:t>
      </w:r>
      <w:r>
        <w:rPr>
          <w:rFonts w:hint="eastAsia"/>
          <w:kern w:val="2"/>
          <w:sz w:val="21"/>
          <w:lang w:val="en-US" w:eastAsia="zh-CN"/>
        </w:rPr>
        <w:tab/>
      </w:r>
      <w:r>
        <w:rPr>
          <w:rFonts w:hint="eastAsia"/>
          <w:kern w:val="2"/>
          <w:sz w:val="21"/>
          <w:lang w:val="en-US" w:eastAsia="zh-CN"/>
        </w:rPr>
        <w:t>ZTE Corporation, Sanechips</w:t>
      </w:r>
    </w:p>
    <w:p w14:paraId="2C49EC6E">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R4-2501879</w:t>
      </w:r>
      <w:r>
        <w:rPr>
          <w:rFonts w:hint="eastAsia"/>
          <w:kern w:val="2"/>
          <w:sz w:val="21"/>
          <w:lang w:val="en-US" w:eastAsia="zh-CN"/>
        </w:rPr>
        <w:tab/>
      </w:r>
      <w:r>
        <w:rPr>
          <w:rFonts w:hint="eastAsia"/>
          <w:kern w:val="2"/>
          <w:sz w:val="21"/>
          <w:lang w:val="en-US" w:eastAsia="zh-CN"/>
        </w:rPr>
        <w:t>Discussion on the applicability improvement of TRP measurement</w:t>
      </w:r>
      <w:r>
        <w:rPr>
          <w:rFonts w:hint="eastAsia"/>
          <w:kern w:val="2"/>
          <w:sz w:val="21"/>
          <w:lang w:val="en-US" w:eastAsia="zh-CN"/>
        </w:rPr>
        <w:tab/>
      </w:r>
      <w:r>
        <w:rPr>
          <w:rFonts w:hint="eastAsia"/>
          <w:kern w:val="2"/>
          <w:sz w:val="21"/>
          <w:lang w:val="en-US" w:eastAsia="zh-CN"/>
        </w:rPr>
        <w:t>ZTE Corporation, Sanechips</w:t>
      </w:r>
    </w:p>
    <w:p w14:paraId="752444F6">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R4-2501927</w:t>
      </w:r>
      <w:r>
        <w:rPr>
          <w:rFonts w:hint="eastAsia"/>
          <w:kern w:val="2"/>
          <w:sz w:val="21"/>
          <w:lang w:val="en-US" w:eastAsia="zh-CN"/>
        </w:rPr>
        <w:tab/>
      </w:r>
      <w:r>
        <w:rPr>
          <w:rFonts w:hint="eastAsia"/>
          <w:kern w:val="2"/>
          <w:sz w:val="21"/>
          <w:lang w:val="en-US" w:eastAsia="zh-CN"/>
        </w:rPr>
        <w:t>Big draft CR for introduction of U6GHz EIRP conformance testing</w:t>
      </w:r>
      <w:r>
        <w:rPr>
          <w:rFonts w:hint="eastAsia"/>
          <w:kern w:val="2"/>
          <w:sz w:val="21"/>
          <w:lang w:val="en-US" w:eastAsia="zh-CN"/>
        </w:rPr>
        <w:tab/>
      </w:r>
      <w:r>
        <w:rPr>
          <w:rFonts w:hint="eastAsia"/>
          <w:kern w:val="2"/>
          <w:sz w:val="21"/>
          <w:lang w:val="en-US" w:eastAsia="zh-CN"/>
        </w:rPr>
        <w:t>ZTE Corporation, Sanechips</w:t>
      </w:r>
    </w:p>
    <w:p w14:paraId="3DF9B9BB">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R4-2502135</w:t>
      </w:r>
      <w:r>
        <w:rPr>
          <w:rFonts w:hint="eastAsia"/>
          <w:kern w:val="2"/>
          <w:sz w:val="21"/>
          <w:lang w:val="en-US" w:eastAsia="zh-CN"/>
        </w:rPr>
        <w:tab/>
      </w:r>
      <w:r>
        <w:rPr>
          <w:rFonts w:hint="eastAsia"/>
          <w:kern w:val="2"/>
          <w:sz w:val="21"/>
          <w:lang w:val="en-US" w:eastAsia="zh-CN"/>
        </w:rPr>
        <w:t>Analysis of BS-to-BS coupling values</w:t>
      </w:r>
      <w:r>
        <w:rPr>
          <w:rFonts w:hint="eastAsia"/>
          <w:kern w:val="2"/>
          <w:sz w:val="21"/>
          <w:lang w:val="en-US" w:eastAsia="zh-CN"/>
        </w:rPr>
        <w:tab/>
      </w:r>
      <w:r>
        <w:rPr>
          <w:rFonts w:hint="eastAsia"/>
          <w:kern w:val="2"/>
          <w:sz w:val="21"/>
          <w:lang w:val="en-US" w:eastAsia="zh-CN"/>
        </w:rPr>
        <w:t>Huawei, HiSilicon</w:t>
      </w:r>
    </w:p>
    <w:p w14:paraId="72F53412">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R4-2502159</w:t>
      </w:r>
      <w:r>
        <w:rPr>
          <w:rFonts w:hint="eastAsia"/>
          <w:kern w:val="2"/>
          <w:sz w:val="21"/>
          <w:lang w:val="en-US" w:eastAsia="zh-CN"/>
        </w:rPr>
        <w:tab/>
      </w:r>
      <w:r>
        <w:rPr>
          <w:rFonts w:hint="eastAsia"/>
          <w:kern w:val="2"/>
          <w:sz w:val="21"/>
          <w:lang w:val="en-US" w:eastAsia="zh-CN"/>
        </w:rPr>
        <w:t>OTA test scope reduction</w:t>
      </w:r>
      <w:r>
        <w:rPr>
          <w:rFonts w:hint="eastAsia"/>
          <w:kern w:val="2"/>
          <w:sz w:val="21"/>
          <w:lang w:val="en-US" w:eastAsia="zh-CN"/>
        </w:rPr>
        <w:tab/>
      </w:r>
      <w:r>
        <w:rPr>
          <w:rFonts w:hint="eastAsia"/>
          <w:kern w:val="2"/>
          <w:sz w:val="21"/>
          <w:lang w:val="en-US" w:eastAsia="zh-CN"/>
        </w:rPr>
        <w:t>Ericsson</w:t>
      </w:r>
    </w:p>
    <w:p w14:paraId="016359E3">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R4-2502160</w:t>
      </w:r>
      <w:r>
        <w:rPr>
          <w:rFonts w:hint="eastAsia"/>
          <w:kern w:val="2"/>
          <w:sz w:val="21"/>
          <w:lang w:val="en-US" w:eastAsia="zh-CN"/>
        </w:rPr>
        <w:tab/>
      </w:r>
      <w:r>
        <w:rPr>
          <w:rFonts w:hint="eastAsia"/>
          <w:kern w:val="2"/>
          <w:sz w:val="21"/>
          <w:lang w:val="en-US" w:eastAsia="zh-CN"/>
        </w:rPr>
        <w:t>Simulation of BS-to-BS isolation for edge-to-edge co-location isolation at 7 GHz</w:t>
      </w:r>
      <w:r>
        <w:rPr>
          <w:rFonts w:hint="eastAsia"/>
          <w:kern w:val="2"/>
          <w:sz w:val="21"/>
          <w:lang w:val="en-US" w:eastAsia="zh-CN"/>
        </w:rPr>
        <w:tab/>
      </w:r>
      <w:r>
        <w:rPr>
          <w:rFonts w:hint="eastAsia"/>
          <w:kern w:val="2"/>
          <w:sz w:val="21"/>
          <w:lang w:val="en-US" w:eastAsia="zh-CN"/>
        </w:rPr>
        <w:t>Ericsson</w:t>
      </w:r>
    </w:p>
    <w:p w14:paraId="2AE35EE8">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R4-2502279</w:t>
      </w:r>
      <w:r>
        <w:rPr>
          <w:rFonts w:hint="eastAsia"/>
          <w:kern w:val="2"/>
          <w:sz w:val="21"/>
          <w:lang w:val="en-US" w:eastAsia="zh-CN"/>
        </w:rPr>
        <w:tab/>
      </w:r>
      <w:r>
        <w:rPr>
          <w:rFonts w:hint="eastAsia"/>
          <w:kern w:val="2"/>
          <w:sz w:val="21"/>
          <w:lang w:val="en-US" w:eastAsia="zh-CN"/>
        </w:rPr>
        <w:t>Way Forward for [114][303] NR_BS_RF_Part2_CLTA</w:t>
      </w:r>
      <w:r>
        <w:rPr>
          <w:rFonts w:hint="eastAsia"/>
          <w:kern w:val="2"/>
          <w:sz w:val="21"/>
          <w:lang w:val="en-US" w:eastAsia="zh-CN"/>
        </w:rPr>
        <w:tab/>
      </w:r>
      <w:r>
        <w:rPr>
          <w:rFonts w:hint="eastAsia"/>
          <w:kern w:val="2"/>
          <w:sz w:val="21"/>
          <w:lang w:val="en-US" w:eastAsia="zh-CN"/>
        </w:rPr>
        <w:t>Huawei</w:t>
      </w:r>
    </w:p>
    <w:p w14:paraId="354A13F5">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R4-2502304</w:t>
      </w:r>
      <w:r>
        <w:rPr>
          <w:rFonts w:hint="eastAsia"/>
          <w:kern w:val="2"/>
          <w:sz w:val="21"/>
          <w:lang w:val="en-US" w:eastAsia="zh-CN"/>
        </w:rPr>
        <w:tab/>
      </w:r>
      <w:r>
        <w:rPr>
          <w:rFonts w:hint="eastAsia"/>
          <w:kern w:val="2"/>
          <w:sz w:val="21"/>
          <w:lang w:val="en-US" w:eastAsia="zh-CN"/>
        </w:rPr>
        <w:t>Way Forward for [114][304] NR_BS_RF_Part3_OTA_TRP</w:t>
      </w:r>
      <w:r>
        <w:rPr>
          <w:rFonts w:hint="eastAsia"/>
          <w:kern w:val="2"/>
          <w:sz w:val="21"/>
          <w:lang w:val="en-US" w:eastAsia="zh-CN"/>
        </w:rPr>
        <w:tab/>
      </w:r>
      <w:r>
        <w:rPr>
          <w:rFonts w:hint="eastAsia"/>
          <w:kern w:val="2"/>
          <w:sz w:val="21"/>
          <w:lang w:val="en-US" w:eastAsia="zh-CN"/>
        </w:rPr>
        <w:t>ZTE</w:t>
      </w:r>
    </w:p>
    <w:p w14:paraId="430BB3B2">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R4-2502308</w:t>
      </w:r>
      <w:r>
        <w:rPr>
          <w:rFonts w:hint="eastAsia"/>
          <w:kern w:val="2"/>
          <w:sz w:val="21"/>
          <w:lang w:val="en-US" w:eastAsia="zh-CN"/>
        </w:rPr>
        <w:tab/>
      </w:r>
      <w:r>
        <w:rPr>
          <w:rFonts w:hint="eastAsia"/>
          <w:kern w:val="2"/>
          <w:sz w:val="21"/>
          <w:lang w:val="en-US" w:eastAsia="zh-CN"/>
        </w:rPr>
        <w:t>Ad-hoc meeting minutes for [114][302] NR_BS_RF_Part1_E_EIRP</w:t>
      </w:r>
      <w:r>
        <w:rPr>
          <w:rFonts w:hint="eastAsia"/>
          <w:kern w:val="2"/>
          <w:sz w:val="21"/>
          <w:lang w:val="en-US" w:eastAsia="zh-CN"/>
        </w:rPr>
        <w:tab/>
      </w:r>
      <w:r>
        <w:rPr>
          <w:rFonts w:hint="eastAsia"/>
          <w:kern w:val="2"/>
          <w:sz w:val="21"/>
          <w:lang w:val="en-US" w:eastAsia="zh-CN"/>
        </w:rPr>
        <w:t>ZTE</w:t>
      </w:r>
    </w:p>
    <w:p w14:paraId="54F3719A">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R4-2502309</w:t>
      </w:r>
      <w:r>
        <w:rPr>
          <w:rFonts w:hint="eastAsia"/>
          <w:kern w:val="2"/>
          <w:sz w:val="21"/>
          <w:lang w:val="en-US" w:eastAsia="zh-CN"/>
        </w:rPr>
        <w:tab/>
      </w:r>
      <w:r>
        <w:rPr>
          <w:rFonts w:hint="eastAsia"/>
          <w:kern w:val="2"/>
          <w:sz w:val="21"/>
          <w:lang w:val="en-US" w:eastAsia="zh-CN"/>
        </w:rPr>
        <w:t>Way Forward for [114][302] NR_BS_RF_Part1_E_EIRP</w:t>
      </w:r>
      <w:r>
        <w:rPr>
          <w:rFonts w:hint="eastAsia"/>
          <w:kern w:val="2"/>
          <w:sz w:val="21"/>
          <w:lang w:val="en-US" w:eastAsia="zh-CN"/>
        </w:rPr>
        <w:tab/>
      </w:r>
      <w:r>
        <w:rPr>
          <w:rFonts w:hint="eastAsia"/>
          <w:kern w:val="2"/>
          <w:sz w:val="21"/>
          <w:lang w:val="en-US" w:eastAsia="zh-CN"/>
        </w:rPr>
        <w:t>ZTE</w:t>
      </w:r>
    </w:p>
    <w:p w14:paraId="699DFC14">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R4-2502316</w:t>
      </w:r>
      <w:r>
        <w:rPr>
          <w:rFonts w:hint="eastAsia"/>
          <w:kern w:val="2"/>
          <w:sz w:val="21"/>
          <w:lang w:val="en-US" w:eastAsia="zh-CN"/>
        </w:rPr>
        <w:tab/>
      </w:r>
      <w:r>
        <w:rPr>
          <w:rFonts w:hint="eastAsia"/>
          <w:kern w:val="2"/>
          <w:sz w:val="21"/>
          <w:lang w:val="en-US" w:eastAsia="zh-CN"/>
        </w:rPr>
        <w:t>TP to TR 38.908 clause 6.2 The calculation for EEIRP mask</w:t>
      </w:r>
      <w:r>
        <w:rPr>
          <w:rFonts w:hint="eastAsia"/>
          <w:kern w:val="2"/>
          <w:sz w:val="21"/>
          <w:lang w:val="en-US" w:eastAsia="zh-CN"/>
        </w:rPr>
        <w:tab/>
      </w:r>
      <w:r>
        <w:rPr>
          <w:rFonts w:hint="eastAsia"/>
          <w:kern w:val="2"/>
          <w:sz w:val="21"/>
          <w:lang w:val="en-US" w:eastAsia="zh-CN"/>
        </w:rPr>
        <w:t>Nokia</w:t>
      </w:r>
    </w:p>
    <w:p w14:paraId="1D157E6E">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R4-2502317</w:t>
      </w:r>
      <w:r>
        <w:rPr>
          <w:rFonts w:hint="eastAsia"/>
          <w:kern w:val="2"/>
          <w:sz w:val="21"/>
          <w:lang w:val="en-US" w:eastAsia="zh-CN"/>
        </w:rPr>
        <w:tab/>
      </w:r>
      <w:r>
        <w:rPr>
          <w:rFonts w:hint="eastAsia"/>
          <w:kern w:val="2"/>
          <w:sz w:val="21"/>
          <w:lang w:val="en-US" w:eastAsia="zh-CN"/>
        </w:rPr>
        <w:t>Draft CR to TS 38.141-2 with updates to Annex N for Expected EIRP calculation</w:t>
      </w:r>
      <w:r>
        <w:rPr>
          <w:rFonts w:hint="eastAsia"/>
          <w:kern w:val="2"/>
          <w:sz w:val="21"/>
          <w:lang w:val="en-US" w:eastAsia="zh-CN"/>
        </w:rPr>
        <w:tab/>
      </w:r>
      <w:r>
        <w:rPr>
          <w:rFonts w:hint="eastAsia"/>
          <w:kern w:val="2"/>
          <w:sz w:val="21"/>
          <w:lang w:val="en-US" w:eastAsia="zh-CN"/>
        </w:rPr>
        <w:t>Nokia</w:t>
      </w:r>
    </w:p>
    <w:p w14:paraId="1D447252">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R4-2502318</w:t>
      </w:r>
      <w:r>
        <w:rPr>
          <w:rFonts w:hint="eastAsia"/>
          <w:kern w:val="2"/>
          <w:sz w:val="21"/>
          <w:lang w:val="en-US" w:eastAsia="zh-CN"/>
        </w:rPr>
        <w:tab/>
      </w:r>
      <w:r>
        <w:rPr>
          <w:rFonts w:hint="eastAsia"/>
          <w:kern w:val="2"/>
          <w:sz w:val="21"/>
          <w:lang w:val="en-US" w:eastAsia="zh-CN"/>
        </w:rPr>
        <w:t>TP for TR 38.908: Conformance test aspects for EEIRP</w:t>
      </w:r>
      <w:r>
        <w:rPr>
          <w:rFonts w:hint="eastAsia"/>
          <w:kern w:val="2"/>
          <w:sz w:val="21"/>
          <w:lang w:val="en-US" w:eastAsia="zh-CN"/>
        </w:rPr>
        <w:tab/>
      </w:r>
      <w:r>
        <w:rPr>
          <w:rFonts w:hint="eastAsia"/>
          <w:kern w:val="2"/>
          <w:sz w:val="21"/>
          <w:lang w:val="en-US" w:eastAsia="zh-CN"/>
        </w:rPr>
        <w:t>Ericsson</w:t>
      </w:r>
    </w:p>
    <w:p w14:paraId="71458C63">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R4-2502319</w:t>
      </w:r>
      <w:r>
        <w:rPr>
          <w:rFonts w:hint="eastAsia"/>
          <w:kern w:val="2"/>
          <w:sz w:val="21"/>
          <w:lang w:val="en-US" w:eastAsia="zh-CN"/>
        </w:rPr>
        <w:tab/>
      </w:r>
      <w:r>
        <w:rPr>
          <w:rFonts w:hint="eastAsia"/>
          <w:kern w:val="2"/>
          <w:sz w:val="21"/>
          <w:lang w:val="en-US" w:eastAsia="zh-CN"/>
        </w:rPr>
        <w:t>TP for TS 38.141-2: Addition of spatial emission requirement to protect FSS UL within band n104</w:t>
      </w:r>
      <w:r>
        <w:rPr>
          <w:rFonts w:hint="eastAsia"/>
          <w:kern w:val="2"/>
          <w:sz w:val="21"/>
          <w:lang w:val="en-US" w:eastAsia="zh-CN"/>
        </w:rPr>
        <w:tab/>
      </w:r>
      <w:r>
        <w:rPr>
          <w:rFonts w:hint="eastAsia"/>
          <w:kern w:val="2"/>
          <w:sz w:val="21"/>
          <w:lang w:val="en-US" w:eastAsia="zh-CN"/>
        </w:rPr>
        <w:t>Ericsson</w:t>
      </w:r>
    </w:p>
    <w:p w14:paraId="25F7717C">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R4-2502320</w:t>
      </w:r>
      <w:r>
        <w:rPr>
          <w:rFonts w:hint="eastAsia"/>
          <w:kern w:val="2"/>
          <w:sz w:val="21"/>
          <w:lang w:val="en-US" w:eastAsia="zh-CN"/>
        </w:rPr>
        <w:tab/>
      </w:r>
      <w:r>
        <w:rPr>
          <w:rFonts w:hint="eastAsia"/>
          <w:kern w:val="2"/>
          <w:sz w:val="21"/>
          <w:lang w:val="en-US" w:eastAsia="zh-CN"/>
        </w:rPr>
        <w:t>TP to TR 38.908 – section 6.6</w:t>
      </w:r>
      <w:r>
        <w:rPr>
          <w:rFonts w:hint="eastAsia"/>
          <w:kern w:val="2"/>
          <w:sz w:val="21"/>
          <w:lang w:val="en-US" w:eastAsia="zh-CN"/>
        </w:rPr>
        <w:tab/>
      </w:r>
      <w:r>
        <w:rPr>
          <w:rFonts w:hint="eastAsia"/>
          <w:kern w:val="2"/>
          <w:sz w:val="21"/>
          <w:lang w:val="en-US" w:eastAsia="zh-CN"/>
        </w:rPr>
        <w:t>Huawei, HiSilicon</w:t>
      </w:r>
    </w:p>
    <w:p w14:paraId="34A7FA5F">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R4-2502321</w:t>
      </w:r>
      <w:r>
        <w:rPr>
          <w:rFonts w:hint="eastAsia"/>
          <w:kern w:val="2"/>
          <w:sz w:val="21"/>
          <w:lang w:val="en-US" w:eastAsia="zh-CN"/>
        </w:rPr>
        <w:tab/>
      </w:r>
      <w:r>
        <w:rPr>
          <w:rFonts w:hint="eastAsia"/>
          <w:kern w:val="2"/>
          <w:sz w:val="21"/>
          <w:lang w:val="en-US" w:eastAsia="zh-CN"/>
        </w:rPr>
        <w:t>Draft CR for introduction of U6GHz EIRP conformance testing</w:t>
      </w:r>
      <w:r>
        <w:rPr>
          <w:rFonts w:hint="eastAsia"/>
          <w:kern w:val="2"/>
          <w:sz w:val="21"/>
          <w:lang w:val="en-US" w:eastAsia="zh-CN"/>
        </w:rPr>
        <w:tab/>
      </w:r>
      <w:r>
        <w:rPr>
          <w:rFonts w:hint="eastAsia"/>
          <w:kern w:val="2"/>
          <w:sz w:val="21"/>
          <w:lang w:val="en-US" w:eastAsia="zh-CN"/>
        </w:rPr>
        <w:t>ZTE Corporation, Sanechips</w:t>
      </w:r>
    </w:p>
    <w:p w14:paraId="251035E4">
      <w:pPr>
        <w:widowControl w:val="0"/>
        <w:numPr>
          <w:ilvl w:val="0"/>
          <w:numId w:val="20"/>
        </w:numPr>
        <w:overflowPunct/>
        <w:autoSpaceDE/>
        <w:autoSpaceDN/>
        <w:adjustRightInd/>
        <w:spacing w:after="0"/>
        <w:ind w:left="425" w:hanging="357"/>
        <w:jc w:val="both"/>
        <w:textAlignment w:val="auto"/>
        <w:rPr>
          <w:rFonts w:hint="eastAsia"/>
          <w:kern w:val="2"/>
          <w:sz w:val="21"/>
          <w:lang w:val="en-US" w:eastAsia="zh-CN"/>
        </w:rPr>
      </w:pPr>
      <w:r>
        <w:rPr>
          <w:rFonts w:hint="eastAsia"/>
          <w:kern w:val="2"/>
          <w:sz w:val="21"/>
          <w:lang w:val="en-US" w:eastAsia="zh-CN"/>
        </w:rPr>
        <w:t>R4-2502375</w:t>
      </w:r>
      <w:r>
        <w:rPr>
          <w:rFonts w:hint="eastAsia"/>
          <w:kern w:val="2"/>
          <w:sz w:val="21"/>
          <w:lang w:val="en-US" w:eastAsia="zh-CN"/>
        </w:rPr>
        <w:tab/>
      </w:r>
      <w:r>
        <w:rPr>
          <w:rFonts w:hint="eastAsia"/>
          <w:kern w:val="2"/>
          <w:sz w:val="21"/>
          <w:lang w:val="en-US" w:eastAsia="zh-CN"/>
        </w:rPr>
        <w:t>Way Forward for [114][304] NR_BS_RF_Part3_OTA_TRP</w:t>
      </w:r>
      <w:r>
        <w:rPr>
          <w:rFonts w:hint="eastAsia"/>
          <w:kern w:val="2"/>
          <w:sz w:val="21"/>
          <w:lang w:val="en-US" w:eastAsia="zh-CN"/>
        </w:rPr>
        <w:tab/>
      </w:r>
      <w:r>
        <w:rPr>
          <w:rFonts w:hint="eastAsia"/>
          <w:kern w:val="2"/>
          <w:sz w:val="21"/>
          <w:lang w:val="en-US" w:eastAsia="zh-CN"/>
        </w:rPr>
        <w:t>ZTE</w:t>
      </w:r>
    </w:p>
    <w:p w14:paraId="42305514">
      <w:pPr>
        <w:widowControl w:val="0"/>
        <w:numPr>
          <w:ilvl w:val="0"/>
          <w:numId w:val="20"/>
        </w:numPr>
        <w:overflowPunct/>
        <w:autoSpaceDE/>
        <w:autoSpaceDN/>
        <w:adjustRightInd/>
        <w:spacing w:after="0"/>
        <w:ind w:left="425" w:hanging="357"/>
        <w:jc w:val="both"/>
        <w:textAlignment w:val="auto"/>
        <w:rPr>
          <w:kern w:val="2"/>
          <w:sz w:val="21"/>
          <w:lang w:val="en-US" w:eastAsia="zh-CN"/>
        </w:rPr>
      </w:pPr>
      <w:r>
        <w:rPr>
          <w:rFonts w:hint="eastAsia"/>
          <w:kern w:val="2"/>
          <w:sz w:val="21"/>
          <w:lang w:val="en-US" w:eastAsia="zh-CN"/>
        </w:rPr>
        <w:t>R4-2502379</w:t>
      </w:r>
      <w:r>
        <w:rPr>
          <w:rFonts w:hint="eastAsia"/>
          <w:kern w:val="2"/>
          <w:sz w:val="21"/>
          <w:lang w:val="en-US" w:eastAsia="zh-CN"/>
        </w:rPr>
        <w:tab/>
      </w:r>
      <w:r>
        <w:rPr>
          <w:rFonts w:hint="eastAsia"/>
          <w:kern w:val="2"/>
          <w:sz w:val="21"/>
          <w:lang w:val="en-US" w:eastAsia="zh-CN"/>
        </w:rPr>
        <w:t>TP for TS 38.141-2: Addition of spatial emission requirement to protect FSS UL within band n104</w:t>
      </w:r>
      <w:r>
        <w:rPr>
          <w:rFonts w:hint="eastAsia"/>
          <w:kern w:val="2"/>
          <w:sz w:val="21"/>
          <w:lang w:val="en-US" w:eastAsia="zh-CN"/>
        </w:rPr>
        <w:tab/>
      </w:r>
      <w:r>
        <w:rPr>
          <w:rFonts w:hint="eastAsia"/>
          <w:kern w:val="2"/>
          <w:sz w:val="21"/>
          <w:lang w:val="en-US" w:eastAsia="zh-CN"/>
        </w:rPr>
        <w:t>Ericsson</w:t>
      </w:r>
    </w:p>
    <w:sectPr>
      <w:headerReference r:id="rId4" w:type="default"/>
      <w:footerReference r:id="rId5"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New York">
    <w:altName w:val="Tahoma"/>
    <w:panose1 w:val="02040503060506020304"/>
    <w:charset w:val="00"/>
    <w:family w:val="roman"/>
    <w:pitch w:val="default"/>
    <w:sig w:usb0="00000000" w:usb1="00000000" w:usb2="00000000" w:usb3="00000000" w:csb0="00000001"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CDA18">
    <w:pPr>
      <w:pStyle w:val="39"/>
    </w:pPr>
    <w:r>
      <w:rPr>
        <w:rStyle w:val="57"/>
      </w:rPr>
      <w:fldChar w:fldCharType="begin"/>
    </w:r>
    <w:r>
      <w:rPr>
        <w:rStyle w:val="57"/>
      </w:rPr>
      <w:instrText xml:space="preserve"> PAGE </w:instrText>
    </w:r>
    <w:r>
      <w:rPr>
        <w:rStyle w:val="57"/>
      </w:rPr>
      <w:fldChar w:fldCharType="separate"/>
    </w:r>
    <w:r>
      <w:rPr>
        <w:rStyle w:val="57"/>
      </w:rPr>
      <w:t>1</w:t>
    </w:r>
    <w:r>
      <w:rPr>
        <w:rStyle w:val="57"/>
      </w:rPr>
      <w:fldChar w:fldCharType="end"/>
    </w:r>
    <w:r>
      <w:rPr>
        <w:rStyle w:val="57"/>
      </w:rPr>
      <w:t xml:space="preserve"> / </w:t>
    </w:r>
    <w:r>
      <w:rPr>
        <w:rStyle w:val="57"/>
      </w:rPr>
      <w:fldChar w:fldCharType="begin"/>
    </w:r>
    <w:r>
      <w:rPr>
        <w:rStyle w:val="57"/>
      </w:rPr>
      <w:instrText xml:space="preserve"> NUMPAGES </w:instrText>
    </w:r>
    <w:r>
      <w:rPr>
        <w:rStyle w:val="57"/>
      </w:rPr>
      <w:fldChar w:fldCharType="separate"/>
    </w:r>
    <w:r>
      <w:rPr>
        <w:rStyle w:val="57"/>
      </w:rPr>
      <w:t>9</w:t>
    </w:r>
    <w:r>
      <w:rPr>
        <w:rStyle w:val="5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208B9">
    <w:pPr>
      <w:pStyle w:val="40"/>
    </w:pPr>
    <w:r>
      <w:t>ver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9C402"/>
    <w:multiLevelType w:val="multilevel"/>
    <w:tmpl w:val="8779C402"/>
    <w:lvl w:ilvl="0" w:tentative="0">
      <w:start w:val="1"/>
      <w:numFmt w:val="bullet"/>
      <w:pStyle w:val="213"/>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BDF2C98F"/>
    <w:multiLevelType w:val="singleLevel"/>
    <w:tmpl w:val="BDF2C98F"/>
    <w:lvl w:ilvl="0" w:tentative="0">
      <w:start w:val="1"/>
      <w:numFmt w:val="decimal"/>
      <w:pStyle w:val="180"/>
      <w:suff w:val="space"/>
      <w:lvlText w:val="[%1]"/>
      <w:lvlJc w:val="left"/>
      <w:pPr>
        <w:ind w:left="643" w:hanging="443"/>
      </w:pPr>
    </w:lvl>
  </w:abstractNum>
  <w:abstractNum w:abstractNumId="2">
    <w:nsid w:val="C6A51E95"/>
    <w:multiLevelType w:val="singleLevel"/>
    <w:tmpl w:val="C6A51E95"/>
    <w:lvl w:ilvl="0" w:tentative="0">
      <w:start w:val="1"/>
      <w:numFmt w:val="bullet"/>
      <w:lvlText w:val=""/>
      <w:lvlJc w:val="left"/>
      <w:pPr>
        <w:ind w:left="420" w:hanging="420"/>
      </w:pPr>
      <w:rPr>
        <w:rFonts w:hint="default" w:ascii="Wingdings" w:hAnsi="Wingdings"/>
      </w:rPr>
    </w:lvl>
  </w:abstractNum>
  <w:abstractNum w:abstractNumId="3">
    <w:nsid w:val="1EE5613B"/>
    <w:multiLevelType w:val="multilevel"/>
    <w:tmpl w:val="1EE5613B"/>
    <w:lvl w:ilvl="0" w:tentative="0">
      <w:start w:val="1"/>
      <w:numFmt w:val="lowerLetter"/>
      <w:lvlText w:val="%1)"/>
      <w:lvlJc w:val="left"/>
      <w:pPr>
        <w:ind w:left="360" w:hanging="360"/>
      </w:pPr>
      <w:rPr>
        <w:rFonts w:hint="default"/>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2B947F97"/>
    <w:multiLevelType w:val="multilevel"/>
    <w:tmpl w:val="2B947F9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CC7125C"/>
    <w:multiLevelType w:val="singleLevel"/>
    <w:tmpl w:val="2CC7125C"/>
    <w:lvl w:ilvl="0" w:tentative="0">
      <w:start w:val="1"/>
      <w:numFmt w:val="bullet"/>
      <w:pStyle w:val="160"/>
      <w:lvlText w:val=""/>
      <w:lvlJc w:val="left"/>
      <w:pPr>
        <w:tabs>
          <w:tab w:val="left" w:pos="360"/>
        </w:tabs>
        <w:ind w:left="360" w:hanging="360"/>
      </w:pPr>
      <w:rPr>
        <w:rFonts w:hint="default" w:ascii="Symbol" w:hAnsi="Symbol"/>
      </w:rPr>
    </w:lvl>
  </w:abstractNum>
  <w:abstractNum w:abstractNumId="7">
    <w:nsid w:val="333524BA"/>
    <w:multiLevelType w:val="multilevel"/>
    <w:tmpl w:val="333524BA"/>
    <w:lvl w:ilvl="0" w:tentative="0">
      <w:start w:val="1"/>
      <w:numFmt w:val="decimal"/>
      <w:pStyle w:val="18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4D5045A"/>
    <w:multiLevelType w:val="singleLevel"/>
    <w:tmpl w:val="34D5045A"/>
    <w:lvl w:ilvl="0" w:tentative="0">
      <w:start w:val="1"/>
      <w:numFmt w:val="bullet"/>
      <w:pStyle w:val="102"/>
      <w:lvlText w:val=""/>
      <w:lvlJc w:val="left"/>
      <w:pPr>
        <w:tabs>
          <w:tab w:val="left" w:pos="360"/>
        </w:tabs>
        <w:ind w:left="340" w:hanging="340"/>
      </w:pPr>
      <w:rPr>
        <w:rFonts w:hint="default" w:ascii="Symbol" w:hAnsi="Symbol" w:eastAsia="Times New Roman"/>
        <w:color w:val="auto"/>
      </w:rPr>
    </w:lvl>
  </w:abstractNum>
  <w:abstractNum w:abstractNumId="9">
    <w:nsid w:val="3F805443"/>
    <w:multiLevelType w:val="multilevel"/>
    <w:tmpl w:val="3F805443"/>
    <w:lvl w:ilvl="0" w:tentative="0">
      <w:start w:val="3"/>
      <w:numFmt w:val="bullet"/>
      <w:lvlText w:val="-"/>
      <w:lvlJc w:val="left"/>
      <w:pPr>
        <w:ind w:left="720" w:hanging="360"/>
      </w:pPr>
      <w:rPr>
        <w:rFonts w:hint="default" w:ascii="Calibri" w:hAnsi="Calibri" w:eastAsia="Times New Roman"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17F6AFB"/>
    <w:multiLevelType w:val="multilevel"/>
    <w:tmpl w:val="417F6AFB"/>
    <w:lvl w:ilvl="0" w:tentative="0">
      <w:start w:val="1"/>
      <w:numFmt w:val="bullet"/>
      <w:pStyle w:val="21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2">
    <w:nsid w:val="5D177F5E"/>
    <w:multiLevelType w:val="multilevel"/>
    <w:tmpl w:val="5D177F5E"/>
    <w:lvl w:ilvl="0" w:tentative="0">
      <w:start w:val="1"/>
      <w:numFmt w:val="decimal"/>
      <w:pStyle w:val="23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3">
    <w:nsid w:val="61F003CC"/>
    <w:multiLevelType w:val="multilevel"/>
    <w:tmpl w:val="61F003CC"/>
    <w:lvl w:ilvl="0" w:tentative="0">
      <w:start w:val="1"/>
      <w:numFmt w:val="decimal"/>
      <w:pStyle w:val="18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40A1CB4"/>
    <w:multiLevelType w:val="multilevel"/>
    <w:tmpl w:val="640A1CB4"/>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Wingdings" w:hAnsi="Wingdings"/>
      </w:rPr>
    </w:lvl>
    <w:lvl w:ilvl="2" w:tentative="0">
      <w:start w:val="0"/>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64AE27F1"/>
    <w:multiLevelType w:val="singleLevel"/>
    <w:tmpl w:val="64AE27F1"/>
    <w:lvl w:ilvl="0" w:tentative="0">
      <w:start w:val="1"/>
      <w:numFmt w:val="bullet"/>
      <w:pStyle w:val="110"/>
      <w:lvlText w:val=""/>
      <w:lvlJc w:val="left"/>
      <w:pPr>
        <w:tabs>
          <w:tab w:val="left" w:pos="992"/>
        </w:tabs>
        <w:ind w:left="992" w:hanging="425"/>
      </w:pPr>
      <w:rPr>
        <w:rFonts w:hint="default" w:ascii="Symbol" w:hAnsi="Symbol" w:eastAsia="Times New Roman"/>
      </w:rPr>
    </w:lvl>
  </w:abstractNum>
  <w:abstractNum w:abstractNumId="16">
    <w:nsid w:val="79C41A82"/>
    <w:multiLevelType w:val="multilevel"/>
    <w:tmpl w:val="79C41A82"/>
    <w:lvl w:ilvl="0" w:tentative="0">
      <w:start w:val="1"/>
      <w:numFmt w:val="decimal"/>
      <w:pStyle w:val="19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A8E6381"/>
    <w:multiLevelType w:val="multilevel"/>
    <w:tmpl w:val="7A8E6381"/>
    <w:lvl w:ilvl="0" w:tentative="0">
      <w:start w:val="3"/>
      <w:numFmt w:val="bullet"/>
      <w:lvlText w:val="-"/>
      <w:lvlJc w:val="left"/>
      <w:pPr>
        <w:ind w:left="720" w:hanging="360"/>
      </w:pPr>
      <w:rPr>
        <w:rFonts w:hint="default" w:ascii="Times New Roman" w:hAnsi="Times New Roman" w:eastAsia="Times New Roman" w:cs="Times New Roman"/>
        <w:color w:val="000000" w:themeColor="text1"/>
        <w14:textFill>
          <w14:solidFill>
            <w14:schemeClr w14:val="tx1"/>
          </w14:solidFill>
        </w14:textFil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BB2217D"/>
    <w:multiLevelType w:val="multilevel"/>
    <w:tmpl w:val="7BB2217D"/>
    <w:lvl w:ilvl="0" w:tentative="0">
      <w:start w:val="1"/>
      <w:numFmt w:val="decimal"/>
      <w:pStyle w:val="183"/>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BC330F5"/>
    <w:multiLevelType w:val="multilevel"/>
    <w:tmpl w:val="7BC330F5"/>
    <w:lvl w:ilvl="0" w:tentative="0">
      <w:start w:val="1"/>
      <w:numFmt w:val="bullet"/>
      <w:pStyle w:val="11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15"/>
  </w:num>
  <w:num w:numId="3">
    <w:abstractNumId w:val="19"/>
  </w:num>
  <w:num w:numId="4">
    <w:abstractNumId w:val="6"/>
  </w:num>
  <w:num w:numId="5">
    <w:abstractNumId w:val="1"/>
  </w:num>
  <w:num w:numId="6">
    <w:abstractNumId w:val="18"/>
  </w:num>
  <w:num w:numId="7">
    <w:abstractNumId w:val="13"/>
  </w:num>
  <w:num w:numId="8">
    <w:abstractNumId w:val="7"/>
  </w:num>
  <w:num w:numId="9">
    <w:abstractNumId w:val="16"/>
  </w:num>
  <w:num w:numId="10">
    <w:abstractNumId w:val="10"/>
  </w:num>
  <w:num w:numId="11">
    <w:abstractNumId w:val="0"/>
  </w:num>
  <w:num w:numId="12">
    <w:abstractNumId w:val="12"/>
  </w:num>
  <w:num w:numId="13">
    <w:abstractNumId w:val="4"/>
  </w:num>
  <w:num w:numId="14">
    <w:abstractNumId w:val="17"/>
  </w:num>
  <w:num w:numId="15">
    <w:abstractNumId w:val="3"/>
  </w:num>
  <w:num w:numId="16">
    <w:abstractNumId w:val="9"/>
  </w:num>
  <w:num w:numId="17">
    <w:abstractNumId w:val="11"/>
  </w:num>
  <w:num w:numId="18">
    <w:abstractNumId w:val="14"/>
  </w:num>
  <w:num w:numId="19">
    <w:abstractNumId w:val="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14ED"/>
    <w:rsid w:val="00007BD0"/>
    <w:rsid w:val="00007C2F"/>
    <w:rsid w:val="0001034C"/>
    <w:rsid w:val="00011C3B"/>
    <w:rsid w:val="00021DEC"/>
    <w:rsid w:val="00022251"/>
    <w:rsid w:val="00023B89"/>
    <w:rsid w:val="000266D7"/>
    <w:rsid w:val="000276C5"/>
    <w:rsid w:val="00033873"/>
    <w:rsid w:val="0004456C"/>
    <w:rsid w:val="000474E3"/>
    <w:rsid w:val="0004770D"/>
    <w:rsid w:val="0005259B"/>
    <w:rsid w:val="00053FEE"/>
    <w:rsid w:val="00060AE4"/>
    <w:rsid w:val="0006411D"/>
    <w:rsid w:val="000661C2"/>
    <w:rsid w:val="00067317"/>
    <w:rsid w:val="0007112F"/>
    <w:rsid w:val="00072173"/>
    <w:rsid w:val="00073385"/>
    <w:rsid w:val="000746A7"/>
    <w:rsid w:val="00074F7D"/>
    <w:rsid w:val="00077102"/>
    <w:rsid w:val="00082FB8"/>
    <w:rsid w:val="0008725E"/>
    <w:rsid w:val="000910BB"/>
    <w:rsid w:val="0009177C"/>
    <w:rsid w:val="000920C0"/>
    <w:rsid w:val="000926AF"/>
    <w:rsid w:val="00092C13"/>
    <w:rsid w:val="000962D3"/>
    <w:rsid w:val="00096742"/>
    <w:rsid w:val="00096E44"/>
    <w:rsid w:val="00097D87"/>
    <w:rsid w:val="000A20E4"/>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14F9"/>
    <w:rsid w:val="00102937"/>
    <w:rsid w:val="001030F0"/>
    <w:rsid w:val="0010324E"/>
    <w:rsid w:val="00104A21"/>
    <w:rsid w:val="00106530"/>
    <w:rsid w:val="00107B0A"/>
    <w:rsid w:val="00115408"/>
    <w:rsid w:val="00116F4B"/>
    <w:rsid w:val="0011731D"/>
    <w:rsid w:val="001220E7"/>
    <w:rsid w:val="001221DE"/>
    <w:rsid w:val="001229F4"/>
    <w:rsid w:val="00123722"/>
    <w:rsid w:val="00124F98"/>
    <w:rsid w:val="001343FD"/>
    <w:rsid w:val="00137471"/>
    <w:rsid w:val="00142DF3"/>
    <w:rsid w:val="00144C8B"/>
    <w:rsid w:val="0015001D"/>
    <w:rsid w:val="00150FD3"/>
    <w:rsid w:val="001559D2"/>
    <w:rsid w:val="00156AA7"/>
    <w:rsid w:val="00156D57"/>
    <w:rsid w:val="001631DF"/>
    <w:rsid w:val="001677C9"/>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0260"/>
    <w:rsid w:val="001D1912"/>
    <w:rsid w:val="001D2C1A"/>
    <w:rsid w:val="001D3BA2"/>
    <w:rsid w:val="001D44B7"/>
    <w:rsid w:val="001D57BA"/>
    <w:rsid w:val="001D5F04"/>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4E8A"/>
    <w:rsid w:val="00216FA2"/>
    <w:rsid w:val="002247A2"/>
    <w:rsid w:val="0022485E"/>
    <w:rsid w:val="002320DA"/>
    <w:rsid w:val="00235D63"/>
    <w:rsid w:val="0023625F"/>
    <w:rsid w:val="00236F8E"/>
    <w:rsid w:val="00240687"/>
    <w:rsid w:val="00241D1F"/>
    <w:rsid w:val="00243A99"/>
    <w:rsid w:val="002516E4"/>
    <w:rsid w:val="00252991"/>
    <w:rsid w:val="00254A78"/>
    <w:rsid w:val="002573FF"/>
    <w:rsid w:val="00262B8C"/>
    <w:rsid w:val="00270B29"/>
    <w:rsid w:val="00283C3C"/>
    <w:rsid w:val="00290335"/>
    <w:rsid w:val="002907DE"/>
    <w:rsid w:val="00293205"/>
    <w:rsid w:val="00293ECB"/>
    <w:rsid w:val="00294AA6"/>
    <w:rsid w:val="0029567C"/>
    <w:rsid w:val="00297087"/>
    <w:rsid w:val="002A19E2"/>
    <w:rsid w:val="002A4BDF"/>
    <w:rsid w:val="002B4C70"/>
    <w:rsid w:val="002C0B82"/>
    <w:rsid w:val="002C2408"/>
    <w:rsid w:val="002D10FB"/>
    <w:rsid w:val="002D1C9B"/>
    <w:rsid w:val="002D1D1E"/>
    <w:rsid w:val="002D381F"/>
    <w:rsid w:val="002D3962"/>
    <w:rsid w:val="002D4013"/>
    <w:rsid w:val="002D4E78"/>
    <w:rsid w:val="002D4E84"/>
    <w:rsid w:val="002D7962"/>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4EE0"/>
    <w:rsid w:val="00396252"/>
    <w:rsid w:val="003977E1"/>
    <w:rsid w:val="003A3999"/>
    <w:rsid w:val="003A4B47"/>
    <w:rsid w:val="003A7ADB"/>
    <w:rsid w:val="003B24AF"/>
    <w:rsid w:val="003B302D"/>
    <w:rsid w:val="003B5154"/>
    <w:rsid w:val="003B7182"/>
    <w:rsid w:val="003C2CFE"/>
    <w:rsid w:val="003C342C"/>
    <w:rsid w:val="003C770D"/>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D5A"/>
    <w:rsid w:val="00433DEF"/>
    <w:rsid w:val="00434391"/>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1B7"/>
    <w:rsid w:val="004873E6"/>
    <w:rsid w:val="00491DF3"/>
    <w:rsid w:val="00497E2C"/>
    <w:rsid w:val="004A071A"/>
    <w:rsid w:val="004A3904"/>
    <w:rsid w:val="004A3F06"/>
    <w:rsid w:val="004A45B9"/>
    <w:rsid w:val="004B15B8"/>
    <w:rsid w:val="004B1BE3"/>
    <w:rsid w:val="004B23F9"/>
    <w:rsid w:val="004B31C8"/>
    <w:rsid w:val="004B4E17"/>
    <w:rsid w:val="004B566C"/>
    <w:rsid w:val="004B675E"/>
    <w:rsid w:val="004B74B2"/>
    <w:rsid w:val="004B7B48"/>
    <w:rsid w:val="004C01FD"/>
    <w:rsid w:val="004C06EE"/>
    <w:rsid w:val="004C3A7E"/>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25706"/>
    <w:rsid w:val="00526B0D"/>
    <w:rsid w:val="0053725F"/>
    <w:rsid w:val="00545364"/>
    <w:rsid w:val="00553315"/>
    <w:rsid w:val="0055346F"/>
    <w:rsid w:val="00553B50"/>
    <w:rsid w:val="005579FF"/>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1775"/>
    <w:rsid w:val="005A3957"/>
    <w:rsid w:val="005A6C96"/>
    <w:rsid w:val="005B032E"/>
    <w:rsid w:val="005C01A4"/>
    <w:rsid w:val="005C3C37"/>
    <w:rsid w:val="005C6156"/>
    <w:rsid w:val="005D0418"/>
    <w:rsid w:val="005D2D5C"/>
    <w:rsid w:val="005D3072"/>
    <w:rsid w:val="005D5101"/>
    <w:rsid w:val="005D7F35"/>
    <w:rsid w:val="005E1D58"/>
    <w:rsid w:val="005E23B5"/>
    <w:rsid w:val="005E3059"/>
    <w:rsid w:val="005F0B7E"/>
    <w:rsid w:val="006019E7"/>
    <w:rsid w:val="00602315"/>
    <w:rsid w:val="00610E37"/>
    <w:rsid w:val="00611039"/>
    <w:rsid w:val="00611C9A"/>
    <w:rsid w:val="006129BF"/>
    <w:rsid w:val="00616990"/>
    <w:rsid w:val="00616D07"/>
    <w:rsid w:val="006207ED"/>
    <w:rsid w:val="00621618"/>
    <w:rsid w:val="00626BC9"/>
    <w:rsid w:val="0063728F"/>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5711"/>
    <w:rsid w:val="006A1EAD"/>
    <w:rsid w:val="006A3ADF"/>
    <w:rsid w:val="006A7552"/>
    <w:rsid w:val="006A7BCB"/>
    <w:rsid w:val="006B0047"/>
    <w:rsid w:val="006B1077"/>
    <w:rsid w:val="006B3E35"/>
    <w:rsid w:val="006B4609"/>
    <w:rsid w:val="006B4C1E"/>
    <w:rsid w:val="006B60E8"/>
    <w:rsid w:val="006B6E36"/>
    <w:rsid w:val="006B6E3C"/>
    <w:rsid w:val="006C090F"/>
    <w:rsid w:val="006C4E32"/>
    <w:rsid w:val="006C56D8"/>
    <w:rsid w:val="006C78DB"/>
    <w:rsid w:val="006D07AE"/>
    <w:rsid w:val="006D1B07"/>
    <w:rsid w:val="006D1C93"/>
    <w:rsid w:val="006D1EA1"/>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CF7"/>
    <w:rsid w:val="00733826"/>
    <w:rsid w:val="00742986"/>
    <w:rsid w:val="00745D6D"/>
    <w:rsid w:val="00746F1B"/>
    <w:rsid w:val="007507C9"/>
    <w:rsid w:val="00750A89"/>
    <w:rsid w:val="00751DFF"/>
    <w:rsid w:val="00755625"/>
    <w:rsid w:val="0075703F"/>
    <w:rsid w:val="00757CD6"/>
    <w:rsid w:val="007645B5"/>
    <w:rsid w:val="007660CD"/>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D6826"/>
    <w:rsid w:val="007D68FE"/>
    <w:rsid w:val="007E1D15"/>
    <w:rsid w:val="007E1DB2"/>
    <w:rsid w:val="007E1DEA"/>
    <w:rsid w:val="007E1E7F"/>
    <w:rsid w:val="007E2120"/>
    <w:rsid w:val="007E2202"/>
    <w:rsid w:val="007E4397"/>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DD4"/>
    <w:rsid w:val="0084096D"/>
    <w:rsid w:val="00842D56"/>
    <w:rsid w:val="00843DB4"/>
    <w:rsid w:val="00851F84"/>
    <w:rsid w:val="008546E5"/>
    <w:rsid w:val="00854D20"/>
    <w:rsid w:val="008556A8"/>
    <w:rsid w:val="00855A55"/>
    <w:rsid w:val="0085677C"/>
    <w:rsid w:val="00864202"/>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35E2"/>
    <w:rsid w:val="008E36FE"/>
    <w:rsid w:val="008F66AB"/>
    <w:rsid w:val="00900AE8"/>
    <w:rsid w:val="00900DAD"/>
    <w:rsid w:val="009038F0"/>
    <w:rsid w:val="00905905"/>
    <w:rsid w:val="009060B9"/>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60345"/>
    <w:rsid w:val="00964355"/>
    <w:rsid w:val="00965296"/>
    <w:rsid w:val="009725BC"/>
    <w:rsid w:val="00973C19"/>
    <w:rsid w:val="00977F8D"/>
    <w:rsid w:val="00981028"/>
    <w:rsid w:val="00982F11"/>
    <w:rsid w:val="00984B17"/>
    <w:rsid w:val="00985654"/>
    <w:rsid w:val="00990BCD"/>
    <w:rsid w:val="0099325D"/>
    <w:rsid w:val="00995338"/>
    <w:rsid w:val="0099668F"/>
    <w:rsid w:val="00996777"/>
    <w:rsid w:val="00997386"/>
    <w:rsid w:val="009A0FD2"/>
    <w:rsid w:val="009A7B27"/>
    <w:rsid w:val="009B0E51"/>
    <w:rsid w:val="009B2186"/>
    <w:rsid w:val="009B4141"/>
    <w:rsid w:val="009B5382"/>
    <w:rsid w:val="009C0BC7"/>
    <w:rsid w:val="009C3D2E"/>
    <w:rsid w:val="009C6592"/>
    <w:rsid w:val="009C73B9"/>
    <w:rsid w:val="009D53D0"/>
    <w:rsid w:val="009E07CE"/>
    <w:rsid w:val="009E209B"/>
    <w:rsid w:val="009E2BDB"/>
    <w:rsid w:val="009E36DE"/>
    <w:rsid w:val="009E3F93"/>
    <w:rsid w:val="009E470E"/>
    <w:rsid w:val="009E5C62"/>
    <w:rsid w:val="009F051E"/>
    <w:rsid w:val="009F0747"/>
    <w:rsid w:val="00A03514"/>
    <w:rsid w:val="00A07312"/>
    <w:rsid w:val="00A10F5D"/>
    <w:rsid w:val="00A142DC"/>
    <w:rsid w:val="00A17079"/>
    <w:rsid w:val="00A218FA"/>
    <w:rsid w:val="00A23297"/>
    <w:rsid w:val="00A235A3"/>
    <w:rsid w:val="00A24852"/>
    <w:rsid w:val="00A27EC9"/>
    <w:rsid w:val="00A30A78"/>
    <w:rsid w:val="00A350DE"/>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239A"/>
    <w:rsid w:val="00AC1AAD"/>
    <w:rsid w:val="00AC39FB"/>
    <w:rsid w:val="00AC3CB7"/>
    <w:rsid w:val="00AC7388"/>
    <w:rsid w:val="00AC79A6"/>
    <w:rsid w:val="00AD24CB"/>
    <w:rsid w:val="00AD4D27"/>
    <w:rsid w:val="00AD51D1"/>
    <w:rsid w:val="00AD53C7"/>
    <w:rsid w:val="00AD7ADC"/>
    <w:rsid w:val="00AE08EB"/>
    <w:rsid w:val="00AE08F2"/>
    <w:rsid w:val="00AE18EC"/>
    <w:rsid w:val="00AE2651"/>
    <w:rsid w:val="00AE3D69"/>
    <w:rsid w:val="00AE3FB4"/>
    <w:rsid w:val="00AE5DCC"/>
    <w:rsid w:val="00AF3414"/>
    <w:rsid w:val="00AF50F6"/>
    <w:rsid w:val="00AF613A"/>
    <w:rsid w:val="00B00BBE"/>
    <w:rsid w:val="00B04115"/>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39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72E5F"/>
    <w:rsid w:val="00B75C31"/>
    <w:rsid w:val="00B84623"/>
    <w:rsid w:val="00B919A8"/>
    <w:rsid w:val="00B92631"/>
    <w:rsid w:val="00B938CB"/>
    <w:rsid w:val="00B9492D"/>
    <w:rsid w:val="00B96D1C"/>
    <w:rsid w:val="00B97A9D"/>
    <w:rsid w:val="00BA4A6B"/>
    <w:rsid w:val="00BA51EF"/>
    <w:rsid w:val="00BA6EF6"/>
    <w:rsid w:val="00BB0897"/>
    <w:rsid w:val="00BB5697"/>
    <w:rsid w:val="00BB66D5"/>
    <w:rsid w:val="00BC09FC"/>
    <w:rsid w:val="00BC66C8"/>
    <w:rsid w:val="00BC7E6E"/>
    <w:rsid w:val="00BD0EE7"/>
    <w:rsid w:val="00BD7B5A"/>
    <w:rsid w:val="00BE1D1F"/>
    <w:rsid w:val="00BE3060"/>
    <w:rsid w:val="00BE5E66"/>
    <w:rsid w:val="00BE6BBA"/>
    <w:rsid w:val="00BE7043"/>
    <w:rsid w:val="00BF123D"/>
    <w:rsid w:val="00BF16B5"/>
    <w:rsid w:val="00BF4839"/>
    <w:rsid w:val="00C00281"/>
    <w:rsid w:val="00C0179A"/>
    <w:rsid w:val="00C05625"/>
    <w:rsid w:val="00C1751E"/>
    <w:rsid w:val="00C17C6C"/>
    <w:rsid w:val="00C20ABF"/>
    <w:rsid w:val="00C21339"/>
    <w:rsid w:val="00C22284"/>
    <w:rsid w:val="00C22CF8"/>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0A33"/>
    <w:rsid w:val="00C6282A"/>
    <w:rsid w:val="00C74DAF"/>
    <w:rsid w:val="00C760E3"/>
    <w:rsid w:val="00C80116"/>
    <w:rsid w:val="00C823DB"/>
    <w:rsid w:val="00C83128"/>
    <w:rsid w:val="00C86711"/>
    <w:rsid w:val="00C87BFC"/>
    <w:rsid w:val="00C90B94"/>
    <w:rsid w:val="00CA35AB"/>
    <w:rsid w:val="00CA3657"/>
    <w:rsid w:val="00CA50EF"/>
    <w:rsid w:val="00CB1011"/>
    <w:rsid w:val="00CB164A"/>
    <w:rsid w:val="00CB3168"/>
    <w:rsid w:val="00CB4A8F"/>
    <w:rsid w:val="00CB75B7"/>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0BF8"/>
    <w:rsid w:val="00D11E2A"/>
    <w:rsid w:val="00D160C1"/>
    <w:rsid w:val="00D16A2E"/>
    <w:rsid w:val="00D16D72"/>
    <w:rsid w:val="00D17794"/>
    <w:rsid w:val="00D21C50"/>
    <w:rsid w:val="00D22398"/>
    <w:rsid w:val="00D24E4B"/>
    <w:rsid w:val="00D30BDD"/>
    <w:rsid w:val="00D35E6C"/>
    <w:rsid w:val="00D42D70"/>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05FA9"/>
    <w:rsid w:val="00E102B2"/>
    <w:rsid w:val="00E125EA"/>
    <w:rsid w:val="00E126FE"/>
    <w:rsid w:val="00E12ECB"/>
    <w:rsid w:val="00E13DB1"/>
    <w:rsid w:val="00E1451F"/>
    <w:rsid w:val="00E15A72"/>
    <w:rsid w:val="00E15E28"/>
    <w:rsid w:val="00E16577"/>
    <w:rsid w:val="00E20370"/>
    <w:rsid w:val="00E27181"/>
    <w:rsid w:val="00E30E45"/>
    <w:rsid w:val="00E3521D"/>
    <w:rsid w:val="00E36051"/>
    <w:rsid w:val="00E36CDB"/>
    <w:rsid w:val="00E544FA"/>
    <w:rsid w:val="00E55E83"/>
    <w:rsid w:val="00E56C3D"/>
    <w:rsid w:val="00E5792E"/>
    <w:rsid w:val="00E6077C"/>
    <w:rsid w:val="00E63C4D"/>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15B8"/>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B1686"/>
    <w:rsid w:val="00FB68AE"/>
    <w:rsid w:val="00FC2F45"/>
    <w:rsid w:val="00FC345B"/>
    <w:rsid w:val="00FC35AC"/>
    <w:rsid w:val="00FC4237"/>
    <w:rsid w:val="00FD4E37"/>
    <w:rsid w:val="00FD5647"/>
    <w:rsid w:val="00FE131F"/>
    <w:rsid w:val="00FE51EC"/>
    <w:rsid w:val="00FF1FDC"/>
    <w:rsid w:val="00FF6CEE"/>
    <w:rsid w:val="016A6360"/>
    <w:rsid w:val="021C5350"/>
    <w:rsid w:val="026F26FD"/>
    <w:rsid w:val="0285401A"/>
    <w:rsid w:val="02CA5022"/>
    <w:rsid w:val="02D84414"/>
    <w:rsid w:val="036D4EC2"/>
    <w:rsid w:val="037554BB"/>
    <w:rsid w:val="03B0401B"/>
    <w:rsid w:val="03C661BF"/>
    <w:rsid w:val="0406548E"/>
    <w:rsid w:val="04210D5B"/>
    <w:rsid w:val="04C156A8"/>
    <w:rsid w:val="04CA256A"/>
    <w:rsid w:val="04EE14A4"/>
    <w:rsid w:val="04F80E99"/>
    <w:rsid w:val="05136AB0"/>
    <w:rsid w:val="05147822"/>
    <w:rsid w:val="05243941"/>
    <w:rsid w:val="05490FE9"/>
    <w:rsid w:val="05815F05"/>
    <w:rsid w:val="059B1B24"/>
    <w:rsid w:val="05FE3860"/>
    <w:rsid w:val="062D7C32"/>
    <w:rsid w:val="065B3392"/>
    <w:rsid w:val="06A53383"/>
    <w:rsid w:val="06CA3E14"/>
    <w:rsid w:val="06DA22A2"/>
    <w:rsid w:val="074958E1"/>
    <w:rsid w:val="074D26C3"/>
    <w:rsid w:val="07541C13"/>
    <w:rsid w:val="078608E3"/>
    <w:rsid w:val="078E2CF2"/>
    <w:rsid w:val="07A24B1E"/>
    <w:rsid w:val="07BB6140"/>
    <w:rsid w:val="08395D30"/>
    <w:rsid w:val="08973524"/>
    <w:rsid w:val="089D668A"/>
    <w:rsid w:val="08A07782"/>
    <w:rsid w:val="08F44BC1"/>
    <w:rsid w:val="08FF69E4"/>
    <w:rsid w:val="09D71932"/>
    <w:rsid w:val="0A420B66"/>
    <w:rsid w:val="0A722199"/>
    <w:rsid w:val="0A7D1EB1"/>
    <w:rsid w:val="0AB36156"/>
    <w:rsid w:val="0ADC79B8"/>
    <w:rsid w:val="0AE41BA8"/>
    <w:rsid w:val="0AE962F7"/>
    <w:rsid w:val="0B357CF0"/>
    <w:rsid w:val="0B542BE4"/>
    <w:rsid w:val="0B676BC5"/>
    <w:rsid w:val="0B8B007F"/>
    <w:rsid w:val="0BA137A0"/>
    <w:rsid w:val="0BE1520A"/>
    <w:rsid w:val="0BF254A5"/>
    <w:rsid w:val="0C1237DB"/>
    <w:rsid w:val="0C1B1EEC"/>
    <w:rsid w:val="0C2F0B8D"/>
    <w:rsid w:val="0C5806CC"/>
    <w:rsid w:val="0CB24D69"/>
    <w:rsid w:val="0CE20CA1"/>
    <w:rsid w:val="0D2C528E"/>
    <w:rsid w:val="0D4F7655"/>
    <w:rsid w:val="0D527A7F"/>
    <w:rsid w:val="0D5663F1"/>
    <w:rsid w:val="0D6D0214"/>
    <w:rsid w:val="0DED5218"/>
    <w:rsid w:val="0E1E05CA"/>
    <w:rsid w:val="0E21353B"/>
    <w:rsid w:val="0E2C2B37"/>
    <w:rsid w:val="0E3C53EA"/>
    <w:rsid w:val="0E51617F"/>
    <w:rsid w:val="0EC15643"/>
    <w:rsid w:val="0ED229E5"/>
    <w:rsid w:val="0F0B0F3A"/>
    <w:rsid w:val="0F102FA9"/>
    <w:rsid w:val="0F20414D"/>
    <w:rsid w:val="0F2B7023"/>
    <w:rsid w:val="0F5B5841"/>
    <w:rsid w:val="0F5E67C6"/>
    <w:rsid w:val="0F6E6569"/>
    <w:rsid w:val="0F9161B4"/>
    <w:rsid w:val="0FB42B59"/>
    <w:rsid w:val="0FCB3577"/>
    <w:rsid w:val="0FFF2ACC"/>
    <w:rsid w:val="102C1649"/>
    <w:rsid w:val="10D15C5C"/>
    <w:rsid w:val="10F7691B"/>
    <w:rsid w:val="11610522"/>
    <w:rsid w:val="117016A9"/>
    <w:rsid w:val="11CE52C6"/>
    <w:rsid w:val="11F7576D"/>
    <w:rsid w:val="12C31056"/>
    <w:rsid w:val="13274DA3"/>
    <w:rsid w:val="132E0705"/>
    <w:rsid w:val="1357734B"/>
    <w:rsid w:val="13853312"/>
    <w:rsid w:val="13897687"/>
    <w:rsid w:val="13B9011A"/>
    <w:rsid w:val="13BD2572"/>
    <w:rsid w:val="13EA433B"/>
    <w:rsid w:val="142F663A"/>
    <w:rsid w:val="152E3299"/>
    <w:rsid w:val="155C679B"/>
    <w:rsid w:val="15D66983"/>
    <w:rsid w:val="161E6859"/>
    <w:rsid w:val="162D3FB2"/>
    <w:rsid w:val="166D339A"/>
    <w:rsid w:val="167D017F"/>
    <w:rsid w:val="168077F8"/>
    <w:rsid w:val="16DD382F"/>
    <w:rsid w:val="170148CE"/>
    <w:rsid w:val="170D38E5"/>
    <w:rsid w:val="175B2228"/>
    <w:rsid w:val="17A339EE"/>
    <w:rsid w:val="17B07EE9"/>
    <w:rsid w:val="17BB112B"/>
    <w:rsid w:val="17F52300"/>
    <w:rsid w:val="17F90136"/>
    <w:rsid w:val="18FF308F"/>
    <w:rsid w:val="19100DAA"/>
    <w:rsid w:val="19654B7E"/>
    <w:rsid w:val="19717B4A"/>
    <w:rsid w:val="19805192"/>
    <w:rsid w:val="1A132F57"/>
    <w:rsid w:val="1A7853C0"/>
    <w:rsid w:val="1AB0041E"/>
    <w:rsid w:val="1AC8208F"/>
    <w:rsid w:val="1ACD2659"/>
    <w:rsid w:val="1AE97737"/>
    <w:rsid w:val="1B166828"/>
    <w:rsid w:val="1B181180"/>
    <w:rsid w:val="1B554A6F"/>
    <w:rsid w:val="1B797F1F"/>
    <w:rsid w:val="1BEF1033"/>
    <w:rsid w:val="1C427D00"/>
    <w:rsid w:val="1C71262F"/>
    <w:rsid w:val="1C9B0535"/>
    <w:rsid w:val="1CE75EF8"/>
    <w:rsid w:val="1CEB0181"/>
    <w:rsid w:val="1D2C65C3"/>
    <w:rsid w:val="1D8827B9"/>
    <w:rsid w:val="1DF7659E"/>
    <w:rsid w:val="1E3823EC"/>
    <w:rsid w:val="1E520DC2"/>
    <w:rsid w:val="1E87015B"/>
    <w:rsid w:val="1EC21DA9"/>
    <w:rsid w:val="1EEC32CA"/>
    <w:rsid w:val="1F2D106A"/>
    <w:rsid w:val="1F50506D"/>
    <w:rsid w:val="1F531875"/>
    <w:rsid w:val="1FD9558D"/>
    <w:rsid w:val="1FF02946"/>
    <w:rsid w:val="200F6337"/>
    <w:rsid w:val="202E41A8"/>
    <w:rsid w:val="203F6EF4"/>
    <w:rsid w:val="20A714C3"/>
    <w:rsid w:val="20D37522"/>
    <w:rsid w:val="20EF05C9"/>
    <w:rsid w:val="21522DE5"/>
    <w:rsid w:val="218D2419"/>
    <w:rsid w:val="22061872"/>
    <w:rsid w:val="221B4358"/>
    <w:rsid w:val="22796B9E"/>
    <w:rsid w:val="22914E40"/>
    <w:rsid w:val="22DC5E4E"/>
    <w:rsid w:val="22E6057E"/>
    <w:rsid w:val="236D75A9"/>
    <w:rsid w:val="23780CBF"/>
    <w:rsid w:val="23E30A96"/>
    <w:rsid w:val="240552CC"/>
    <w:rsid w:val="240F46B6"/>
    <w:rsid w:val="24190849"/>
    <w:rsid w:val="24B27742"/>
    <w:rsid w:val="24F43A2F"/>
    <w:rsid w:val="25891C28"/>
    <w:rsid w:val="25CD5911"/>
    <w:rsid w:val="25DB26A8"/>
    <w:rsid w:val="2624631F"/>
    <w:rsid w:val="270E3D1E"/>
    <w:rsid w:val="271B6F16"/>
    <w:rsid w:val="271F003B"/>
    <w:rsid w:val="27346C40"/>
    <w:rsid w:val="27762449"/>
    <w:rsid w:val="27893DAB"/>
    <w:rsid w:val="27B53501"/>
    <w:rsid w:val="27E22DFD"/>
    <w:rsid w:val="27E37119"/>
    <w:rsid w:val="28E27E2F"/>
    <w:rsid w:val="28E60C74"/>
    <w:rsid w:val="29451A7D"/>
    <w:rsid w:val="29BF1089"/>
    <w:rsid w:val="29C4524A"/>
    <w:rsid w:val="29CE5268"/>
    <w:rsid w:val="29FB2E6A"/>
    <w:rsid w:val="2A0E17D0"/>
    <w:rsid w:val="2A4028DC"/>
    <w:rsid w:val="2A680A43"/>
    <w:rsid w:val="2A746878"/>
    <w:rsid w:val="2A835621"/>
    <w:rsid w:val="2AA42601"/>
    <w:rsid w:val="2AC01F31"/>
    <w:rsid w:val="2AF54989"/>
    <w:rsid w:val="2B3E6082"/>
    <w:rsid w:val="2BD33B65"/>
    <w:rsid w:val="2BD74F7C"/>
    <w:rsid w:val="2C792587"/>
    <w:rsid w:val="2C9C5FBF"/>
    <w:rsid w:val="2CA77A2D"/>
    <w:rsid w:val="2CCE420F"/>
    <w:rsid w:val="2CD22C15"/>
    <w:rsid w:val="2CDB505B"/>
    <w:rsid w:val="2D885FB0"/>
    <w:rsid w:val="2DDE404C"/>
    <w:rsid w:val="2E026ACA"/>
    <w:rsid w:val="2E1348A7"/>
    <w:rsid w:val="2E3F2A1C"/>
    <w:rsid w:val="2E6266D9"/>
    <w:rsid w:val="2E7523CB"/>
    <w:rsid w:val="2E8D574C"/>
    <w:rsid w:val="2E953036"/>
    <w:rsid w:val="2EAA029D"/>
    <w:rsid w:val="2EB765A5"/>
    <w:rsid w:val="2EC830D0"/>
    <w:rsid w:val="2ED93D96"/>
    <w:rsid w:val="2EDB0A6C"/>
    <w:rsid w:val="2FD75F04"/>
    <w:rsid w:val="300C7EE4"/>
    <w:rsid w:val="30103067"/>
    <w:rsid w:val="3025300D"/>
    <w:rsid w:val="30CD6C9E"/>
    <w:rsid w:val="312406A1"/>
    <w:rsid w:val="313D0EA5"/>
    <w:rsid w:val="31665B97"/>
    <w:rsid w:val="317A00BB"/>
    <w:rsid w:val="319F2879"/>
    <w:rsid w:val="31A15D7C"/>
    <w:rsid w:val="31FC4E6F"/>
    <w:rsid w:val="321C1E43"/>
    <w:rsid w:val="32691F42"/>
    <w:rsid w:val="326E26D7"/>
    <w:rsid w:val="329D55D9"/>
    <w:rsid w:val="33126618"/>
    <w:rsid w:val="33BC56DC"/>
    <w:rsid w:val="34432ACD"/>
    <w:rsid w:val="344A041F"/>
    <w:rsid w:val="34C57BA3"/>
    <w:rsid w:val="34DE2CCB"/>
    <w:rsid w:val="3504212C"/>
    <w:rsid w:val="351849C1"/>
    <w:rsid w:val="35594C43"/>
    <w:rsid w:val="3577485D"/>
    <w:rsid w:val="35B20725"/>
    <w:rsid w:val="35B71AE4"/>
    <w:rsid w:val="35C51944"/>
    <w:rsid w:val="35D774FD"/>
    <w:rsid w:val="36013D27"/>
    <w:rsid w:val="36645FCA"/>
    <w:rsid w:val="367365E5"/>
    <w:rsid w:val="36AA77BD"/>
    <w:rsid w:val="371264BB"/>
    <w:rsid w:val="37161C1F"/>
    <w:rsid w:val="37364124"/>
    <w:rsid w:val="37624BE8"/>
    <w:rsid w:val="37872FC4"/>
    <w:rsid w:val="38527817"/>
    <w:rsid w:val="3864605D"/>
    <w:rsid w:val="38A5656B"/>
    <w:rsid w:val="391D2199"/>
    <w:rsid w:val="3936578F"/>
    <w:rsid w:val="394713D0"/>
    <w:rsid w:val="3961212F"/>
    <w:rsid w:val="399C6A91"/>
    <w:rsid w:val="39F0651B"/>
    <w:rsid w:val="39FA26AE"/>
    <w:rsid w:val="39FB720A"/>
    <w:rsid w:val="3A0B2CF9"/>
    <w:rsid w:val="3A3F4ABC"/>
    <w:rsid w:val="3AF00475"/>
    <w:rsid w:val="3AF91BA6"/>
    <w:rsid w:val="3B52394A"/>
    <w:rsid w:val="3BAA3A4A"/>
    <w:rsid w:val="3C0E0886"/>
    <w:rsid w:val="3C112402"/>
    <w:rsid w:val="3C2564DA"/>
    <w:rsid w:val="3C577F8F"/>
    <w:rsid w:val="3CB84AED"/>
    <w:rsid w:val="3CC51993"/>
    <w:rsid w:val="3CF950D8"/>
    <w:rsid w:val="3D06102C"/>
    <w:rsid w:val="3D471A96"/>
    <w:rsid w:val="3DA05553"/>
    <w:rsid w:val="3E0456CC"/>
    <w:rsid w:val="3E636D6A"/>
    <w:rsid w:val="3FCF5C3C"/>
    <w:rsid w:val="3FE33A81"/>
    <w:rsid w:val="40261ECE"/>
    <w:rsid w:val="4060552B"/>
    <w:rsid w:val="40AA1C33"/>
    <w:rsid w:val="40CB061C"/>
    <w:rsid w:val="40CE13E2"/>
    <w:rsid w:val="410F0A26"/>
    <w:rsid w:val="41267873"/>
    <w:rsid w:val="413C1A16"/>
    <w:rsid w:val="4149735F"/>
    <w:rsid w:val="41636052"/>
    <w:rsid w:val="4199652C"/>
    <w:rsid w:val="41E8453E"/>
    <w:rsid w:val="41EF0857"/>
    <w:rsid w:val="422B5A9B"/>
    <w:rsid w:val="425B5639"/>
    <w:rsid w:val="4298644F"/>
    <w:rsid w:val="42B2733B"/>
    <w:rsid w:val="42CC3426"/>
    <w:rsid w:val="42D4553E"/>
    <w:rsid w:val="42E71A52"/>
    <w:rsid w:val="42EC3520"/>
    <w:rsid w:val="4311622D"/>
    <w:rsid w:val="431E5D87"/>
    <w:rsid w:val="43346E69"/>
    <w:rsid w:val="43386634"/>
    <w:rsid w:val="435B28AD"/>
    <w:rsid w:val="43664E65"/>
    <w:rsid w:val="43D302B8"/>
    <w:rsid w:val="44302CEE"/>
    <w:rsid w:val="44647CC4"/>
    <w:rsid w:val="44D053E0"/>
    <w:rsid w:val="45061A4C"/>
    <w:rsid w:val="45255657"/>
    <w:rsid w:val="454B661F"/>
    <w:rsid w:val="45BF1CE9"/>
    <w:rsid w:val="45D70058"/>
    <w:rsid w:val="45FE2E3F"/>
    <w:rsid w:val="467224C3"/>
    <w:rsid w:val="47546D12"/>
    <w:rsid w:val="4794337F"/>
    <w:rsid w:val="47983DB5"/>
    <w:rsid w:val="484418FD"/>
    <w:rsid w:val="484F3AB2"/>
    <w:rsid w:val="48AC74A2"/>
    <w:rsid w:val="48B325DE"/>
    <w:rsid w:val="48CC68FF"/>
    <w:rsid w:val="48D3318F"/>
    <w:rsid w:val="48E674A9"/>
    <w:rsid w:val="493010A1"/>
    <w:rsid w:val="49516B58"/>
    <w:rsid w:val="49B83F7E"/>
    <w:rsid w:val="49FA3AEE"/>
    <w:rsid w:val="49FE24F4"/>
    <w:rsid w:val="4A227A1C"/>
    <w:rsid w:val="4A267E35"/>
    <w:rsid w:val="4AC46A3A"/>
    <w:rsid w:val="4ACB13FC"/>
    <w:rsid w:val="4B1C17A4"/>
    <w:rsid w:val="4B2E4DE4"/>
    <w:rsid w:val="4B35476F"/>
    <w:rsid w:val="4B434D8A"/>
    <w:rsid w:val="4BAF0679"/>
    <w:rsid w:val="4BF25429"/>
    <w:rsid w:val="4BFA6AB7"/>
    <w:rsid w:val="4C0E55F3"/>
    <w:rsid w:val="4C2E2CE5"/>
    <w:rsid w:val="4C6961A4"/>
    <w:rsid w:val="4C7F6730"/>
    <w:rsid w:val="4C9C74BC"/>
    <w:rsid w:val="4CB726ED"/>
    <w:rsid w:val="4CD47C18"/>
    <w:rsid w:val="4DC4703C"/>
    <w:rsid w:val="4E2A34C8"/>
    <w:rsid w:val="4E2B47CD"/>
    <w:rsid w:val="4E633B43"/>
    <w:rsid w:val="4E944BD5"/>
    <w:rsid w:val="4E962786"/>
    <w:rsid w:val="4EBD3D3C"/>
    <w:rsid w:val="4EF7784F"/>
    <w:rsid w:val="4F1C1B57"/>
    <w:rsid w:val="4F2E70FE"/>
    <w:rsid w:val="4F4C72E9"/>
    <w:rsid w:val="4F5E1BAB"/>
    <w:rsid w:val="4FB758F2"/>
    <w:rsid w:val="4FB768B5"/>
    <w:rsid w:val="4FDA0C90"/>
    <w:rsid w:val="4FEE344F"/>
    <w:rsid w:val="4FF45D05"/>
    <w:rsid w:val="50205B81"/>
    <w:rsid w:val="50443074"/>
    <w:rsid w:val="504B45C2"/>
    <w:rsid w:val="50BA02FE"/>
    <w:rsid w:val="50F647FB"/>
    <w:rsid w:val="511E587D"/>
    <w:rsid w:val="512B716F"/>
    <w:rsid w:val="51954DC4"/>
    <w:rsid w:val="51980E89"/>
    <w:rsid w:val="519A4663"/>
    <w:rsid w:val="51C01DAA"/>
    <w:rsid w:val="51DC17B6"/>
    <w:rsid w:val="51E44568"/>
    <w:rsid w:val="51FC1166"/>
    <w:rsid w:val="52117FC9"/>
    <w:rsid w:val="52925986"/>
    <w:rsid w:val="529620AE"/>
    <w:rsid w:val="529A3EE1"/>
    <w:rsid w:val="52B1623B"/>
    <w:rsid w:val="52BE21E8"/>
    <w:rsid w:val="52DE38FD"/>
    <w:rsid w:val="52FC75B4"/>
    <w:rsid w:val="53032806"/>
    <w:rsid w:val="53426A39"/>
    <w:rsid w:val="536F35A6"/>
    <w:rsid w:val="53705194"/>
    <w:rsid w:val="53714FF4"/>
    <w:rsid w:val="5392268C"/>
    <w:rsid w:val="53C80811"/>
    <w:rsid w:val="53E9787B"/>
    <w:rsid w:val="540909EB"/>
    <w:rsid w:val="5457656B"/>
    <w:rsid w:val="54660D84"/>
    <w:rsid w:val="54660FC2"/>
    <w:rsid w:val="546B1888"/>
    <w:rsid w:val="546C518D"/>
    <w:rsid w:val="54AA570B"/>
    <w:rsid w:val="54BE2A98"/>
    <w:rsid w:val="54DC562C"/>
    <w:rsid w:val="552B0D08"/>
    <w:rsid w:val="558624E1"/>
    <w:rsid w:val="55BC38B4"/>
    <w:rsid w:val="564A221E"/>
    <w:rsid w:val="565405AF"/>
    <w:rsid w:val="56971BE9"/>
    <w:rsid w:val="5697740A"/>
    <w:rsid w:val="56A63783"/>
    <w:rsid w:val="571E12FD"/>
    <w:rsid w:val="57840B20"/>
    <w:rsid w:val="57CA0BC1"/>
    <w:rsid w:val="57ED06D1"/>
    <w:rsid w:val="585844FD"/>
    <w:rsid w:val="58951D01"/>
    <w:rsid w:val="589F0489"/>
    <w:rsid w:val="58CC7D3F"/>
    <w:rsid w:val="58DA37D1"/>
    <w:rsid w:val="58F70B83"/>
    <w:rsid w:val="59070E1D"/>
    <w:rsid w:val="5945561B"/>
    <w:rsid w:val="59B966C3"/>
    <w:rsid w:val="5A837291"/>
    <w:rsid w:val="5AEC7FFD"/>
    <w:rsid w:val="5B3B45B8"/>
    <w:rsid w:val="5B423ECD"/>
    <w:rsid w:val="5B74479A"/>
    <w:rsid w:val="5B7C510D"/>
    <w:rsid w:val="5BAF1661"/>
    <w:rsid w:val="5BB07212"/>
    <w:rsid w:val="5C4F5402"/>
    <w:rsid w:val="5C7133B8"/>
    <w:rsid w:val="5C723888"/>
    <w:rsid w:val="5CA15B97"/>
    <w:rsid w:val="5CBB6CB0"/>
    <w:rsid w:val="5CDC4C66"/>
    <w:rsid w:val="5CE345F1"/>
    <w:rsid w:val="5CEB7973"/>
    <w:rsid w:val="5CEC6008"/>
    <w:rsid w:val="5D0631CD"/>
    <w:rsid w:val="5D1C02FB"/>
    <w:rsid w:val="5D1C12D3"/>
    <w:rsid w:val="5D5C7089"/>
    <w:rsid w:val="5DC77BA2"/>
    <w:rsid w:val="5E04700C"/>
    <w:rsid w:val="5E280F21"/>
    <w:rsid w:val="5E793037"/>
    <w:rsid w:val="5F184590"/>
    <w:rsid w:val="5F1F779F"/>
    <w:rsid w:val="5F5F7B97"/>
    <w:rsid w:val="5F8261BE"/>
    <w:rsid w:val="604E7E90"/>
    <w:rsid w:val="60BB2A43"/>
    <w:rsid w:val="60E22BF3"/>
    <w:rsid w:val="61037C0C"/>
    <w:rsid w:val="614122CC"/>
    <w:rsid w:val="619736AB"/>
    <w:rsid w:val="623674AE"/>
    <w:rsid w:val="626D4608"/>
    <w:rsid w:val="62950991"/>
    <w:rsid w:val="62FA54F0"/>
    <w:rsid w:val="630F1C12"/>
    <w:rsid w:val="63B776CD"/>
    <w:rsid w:val="63E42EEF"/>
    <w:rsid w:val="6482499D"/>
    <w:rsid w:val="64B14BC2"/>
    <w:rsid w:val="65113AC4"/>
    <w:rsid w:val="65187A69"/>
    <w:rsid w:val="664E34EF"/>
    <w:rsid w:val="66546760"/>
    <w:rsid w:val="667E0635"/>
    <w:rsid w:val="66EA5766"/>
    <w:rsid w:val="66FC171C"/>
    <w:rsid w:val="66FC2F4B"/>
    <w:rsid w:val="672B61CF"/>
    <w:rsid w:val="673E51F0"/>
    <w:rsid w:val="677A75D3"/>
    <w:rsid w:val="67C4501E"/>
    <w:rsid w:val="67CB3C1E"/>
    <w:rsid w:val="67DD3A75"/>
    <w:rsid w:val="67E9310A"/>
    <w:rsid w:val="687D5B7C"/>
    <w:rsid w:val="68A044D6"/>
    <w:rsid w:val="68CF6880"/>
    <w:rsid w:val="69123E71"/>
    <w:rsid w:val="69475245"/>
    <w:rsid w:val="695F3CBF"/>
    <w:rsid w:val="69983D07"/>
    <w:rsid w:val="699E413F"/>
    <w:rsid w:val="69E13245"/>
    <w:rsid w:val="6A1231B1"/>
    <w:rsid w:val="6A1E27E4"/>
    <w:rsid w:val="6AD62431"/>
    <w:rsid w:val="6B823960"/>
    <w:rsid w:val="6BBA7620"/>
    <w:rsid w:val="6C506213"/>
    <w:rsid w:val="6C564BBD"/>
    <w:rsid w:val="6CF77AF3"/>
    <w:rsid w:val="6D305B30"/>
    <w:rsid w:val="6D3754BB"/>
    <w:rsid w:val="6D3B1125"/>
    <w:rsid w:val="6D465AD5"/>
    <w:rsid w:val="6D4C79DE"/>
    <w:rsid w:val="6D5238C5"/>
    <w:rsid w:val="6D7E5C2F"/>
    <w:rsid w:val="6D8E174D"/>
    <w:rsid w:val="6DC0432B"/>
    <w:rsid w:val="6E004F03"/>
    <w:rsid w:val="6E1A6AD8"/>
    <w:rsid w:val="6E3A41E4"/>
    <w:rsid w:val="6E742726"/>
    <w:rsid w:val="6E7736BC"/>
    <w:rsid w:val="6EF660A4"/>
    <w:rsid w:val="6F051226"/>
    <w:rsid w:val="6F424616"/>
    <w:rsid w:val="6F7B1AEF"/>
    <w:rsid w:val="6F9E6F2E"/>
    <w:rsid w:val="701139EA"/>
    <w:rsid w:val="702E6EEE"/>
    <w:rsid w:val="702F21E7"/>
    <w:rsid w:val="70400CB6"/>
    <w:rsid w:val="70606FEC"/>
    <w:rsid w:val="70636625"/>
    <w:rsid w:val="707B5618"/>
    <w:rsid w:val="709957D5"/>
    <w:rsid w:val="70EC5DDE"/>
    <w:rsid w:val="711D4E21"/>
    <w:rsid w:val="71235CA4"/>
    <w:rsid w:val="71253127"/>
    <w:rsid w:val="713B43D1"/>
    <w:rsid w:val="71432CF3"/>
    <w:rsid w:val="717B0617"/>
    <w:rsid w:val="71823031"/>
    <w:rsid w:val="719E278D"/>
    <w:rsid w:val="71BB3A25"/>
    <w:rsid w:val="722B1E8D"/>
    <w:rsid w:val="723423EA"/>
    <w:rsid w:val="72BD6ACB"/>
    <w:rsid w:val="72DD4E02"/>
    <w:rsid w:val="731068D5"/>
    <w:rsid w:val="73487201"/>
    <w:rsid w:val="73927DA8"/>
    <w:rsid w:val="73C2417B"/>
    <w:rsid w:val="73F13E37"/>
    <w:rsid w:val="73F60FD0"/>
    <w:rsid w:val="745F01DC"/>
    <w:rsid w:val="746556BE"/>
    <w:rsid w:val="749B69F9"/>
    <w:rsid w:val="74B310ED"/>
    <w:rsid w:val="74BC1873"/>
    <w:rsid w:val="753C2362"/>
    <w:rsid w:val="758849E0"/>
    <w:rsid w:val="758A3766"/>
    <w:rsid w:val="758E216C"/>
    <w:rsid w:val="759907F6"/>
    <w:rsid w:val="75A91B22"/>
    <w:rsid w:val="75E03DB6"/>
    <w:rsid w:val="75E74F8A"/>
    <w:rsid w:val="76097931"/>
    <w:rsid w:val="766C6C2F"/>
    <w:rsid w:val="76B52A9A"/>
    <w:rsid w:val="76DF3EDE"/>
    <w:rsid w:val="76F507BA"/>
    <w:rsid w:val="77291F0E"/>
    <w:rsid w:val="773D6076"/>
    <w:rsid w:val="77401B33"/>
    <w:rsid w:val="7781252A"/>
    <w:rsid w:val="77D4698D"/>
    <w:rsid w:val="78042B76"/>
    <w:rsid w:val="782E4890"/>
    <w:rsid w:val="78397168"/>
    <w:rsid w:val="783A3050"/>
    <w:rsid w:val="78650950"/>
    <w:rsid w:val="792D0A54"/>
    <w:rsid w:val="79337F6D"/>
    <w:rsid w:val="7971692E"/>
    <w:rsid w:val="7A155DD9"/>
    <w:rsid w:val="7A1946A1"/>
    <w:rsid w:val="7A3F0883"/>
    <w:rsid w:val="7A8F5AA2"/>
    <w:rsid w:val="7BA91428"/>
    <w:rsid w:val="7BD173B3"/>
    <w:rsid w:val="7BDA26C1"/>
    <w:rsid w:val="7C1A44EB"/>
    <w:rsid w:val="7C61599E"/>
    <w:rsid w:val="7C9F0D06"/>
    <w:rsid w:val="7CFE1373"/>
    <w:rsid w:val="7D042C28"/>
    <w:rsid w:val="7D1D701A"/>
    <w:rsid w:val="7D6D4BD6"/>
    <w:rsid w:val="7DFC570D"/>
    <w:rsid w:val="7E07472A"/>
    <w:rsid w:val="7E7968F1"/>
    <w:rsid w:val="7E8471C3"/>
    <w:rsid w:val="7EC42148"/>
    <w:rsid w:val="7EF02F3D"/>
    <w:rsid w:val="7F211C9E"/>
    <w:rsid w:val="7F3776C5"/>
    <w:rsid w:val="7F405249"/>
    <w:rsid w:val="7F5524F8"/>
    <w:rsid w:val="7F5E7584"/>
    <w:rsid w:val="7FB95889"/>
    <w:rsid w:val="7FDF3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217"/>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218"/>
    <w:qFormat/>
    <w:uiPriority w:val="0"/>
    <w:pPr>
      <w:pBdr>
        <w:top w:val="none" w:color="auto" w:sz="0" w:space="0"/>
      </w:pBdr>
      <w:spacing w:before="180"/>
      <w:outlineLvl w:val="1"/>
    </w:pPr>
    <w:rPr>
      <w:sz w:val="32"/>
    </w:rPr>
  </w:style>
  <w:style w:type="paragraph" w:styleId="4">
    <w:name w:val="heading 3"/>
    <w:basedOn w:val="3"/>
    <w:next w:val="1"/>
    <w:link w:val="216"/>
    <w:qFormat/>
    <w:uiPriority w:val="0"/>
    <w:pPr>
      <w:spacing w:before="120"/>
      <w:outlineLvl w:val="2"/>
    </w:pPr>
    <w:rPr>
      <w:sz w:val="28"/>
    </w:rPr>
  </w:style>
  <w:style w:type="paragraph" w:styleId="5">
    <w:name w:val="heading 4"/>
    <w:basedOn w:val="4"/>
    <w:next w:val="1"/>
    <w:link w:val="214"/>
    <w:qFormat/>
    <w:uiPriority w:val="0"/>
    <w:pPr>
      <w:ind w:left="1418" w:hanging="1418"/>
      <w:outlineLvl w:val="3"/>
    </w:pPr>
    <w:rPr>
      <w:sz w:val="24"/>
    </w:rPr>
  </w:style>
  <w:style w:type="paragraph" w:styleId="6">
    <w:name w:val="heading 5"/>
    <w:basedOn w:val="5"/>
    <w:next w:val="1"/>
    <w:link w:val="158"/>
    <w:qFormat/>
    <w:uiPriority w:val="0"/>
    <w:pPr>
      <w:ind w:left="1701" w:hanging="1701"/>
      <w:outlineLvl w:val="4"/>
    </w:pPr>
    <w:rPr>
      <w:sz w:val="22"/>
    </w:rPr>
  </w:style>
  <w:style w:type="paragraph" w:styleId="7">
    <w:name w:val="heading 6"/>
    <w:basedOn w:val="8"/>
    <w:next w:val="1"/>
    <w:link w:val="150"/>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82"/>
    <w:qFormat/>
    <w:uiPriority w:val="0"/>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9"/>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5"/>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7"/>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7"/>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8"/>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100"/>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3"/>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3"/>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5"/>
    <w:qFormat/>
    <w:uiPriority w:val="0"/>
    <w:pPr>
      <w:jc w:val="center"/>
    </w:pPr>
    <w:rPr>
      <w:i/>
    </w:rPr>
  </w:style>
  <w:style w:type="paragraph" w:styleId="40">
    <w:name w:val="header"/>
    <w:link w:val="12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Subtitle"/>
    <w:basedOn w:val="1"/>
    <w:next w:val="1"/>
    <w:link w:val="156"/>
    <w:qFormat/>
    <w:uiPriority w:val="0"/>
    <w:pPr>
      <w:snapToGrid w:val="0"/>
      <w:spacing w:after="60" w:line="276" w:lineRule="auto"/>
      <w:jc w:val="center"/>
      <w:outlineLvl w:val="1"/>
    </w:pPr>
    <w:rPr>
      <w:rFonts w:ascii="Cambria" w:hAnsi="Cambria"/>
      <w:sz w:val="24"/>
      <w:szCs w:val="24"/>
      <w:lang w:eastAsia="en-IN"/>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21"/>
    <w:next w:val="1"/>
    <w:qFormat/>
    <w:uiPriority w:val="99"/>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6">
    <w:name w:val="toc 9"/>
    <w:basedOn w:val="36"/>
    <w:next w:val="1"/>
    <w:qFormat/>
    <w:uiPriority w:val="0"/>
    <w:pPr>
      <w:ind w:left="1418" w:hanging="1418"/>
    </w:pPr>
  </w:style>
  <w:style w:type="paragraph" w:styleId="47">
    <w:name w:val="Body Text 2"/>
    <w:basedOn w:val="1"/>
    <w:link w:val="157"/>
    <w:qFormat/>
    <w:uiPriority w:val="0"/>
    <w:pPr>
      <w:tabs>
        <w:tab w:val="left" w:pos="1985"/>
      </w:tabs>
      <w:snapToGrid w:val="0"/>
      <w:spacing w:after="0" w:line="276" w:lineRule="auto"/>
      <w:jc w:val="both"/>
    </w:pPr>
    <w:rPr>
      <w:rFonts w:ascii="Arial" w:hAnsi="Arial"/>
      <w:sz w:val="22"/>
      <w:lang w:eastAsia="en-IN"/>
    </w:rPr>
  </w:style>
  <w:style w:type="paragraph" w:styleId="48">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9">
    <w:name w:val="index 1"/>
    <w:basedOn w:val="1"/>
    <w:next w:val="1"/>
    <w:qFormat/>
    <w:uiPriority w:val="0"/>
    <w:pPr>
      <w:keepLines/>
      <w:spacing w:after="0"/>
    </w:pPr>
  </w:style>
  <w:style w:type="paragraph" w:styleId="50">
    <w:name w:val="index 2"/>
    <w:basedOn w:val="49"/>
    <w:next w:val="1"/>
    <w:qFormat/>
    <w:uiPriority w:val="0"/>
    <w:pPr>
      <w:ind w:left="284"/>
    </w:pPr>
  </w:style>
  <w:style w:type="paragraph" w:styleId="51">
    <w:name w:val="Title"/>
    <w:basedOn w:val="1"/>
    <w:link w:val="106"/>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2">
    <w:name w:val="annotation subject"/>
    <w:basedOn w:val="30"/>
    <w:next w:val="30"/>
    <w:link w:val="119"/>
    <w:qFormat/>
    <w:uiPriority w:val="0"/>
    <w:rPr>
      <w:b/>
      <w:sz w:val="24"/>
    </w:rPr>
  </w:style>
  <w:style w:type="table" w:styleId="54">
    <w:name w:val="Table Grid"/>
    <w:basedOn w:val="5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22"/>
    <w:rPr>
      <w:b/>
      <w:bCs/>
    </w:rPr>
  </w:style>
  <w:style w:type="character" w:styleId="57">
    <w:name w:val="page number"/>
    <w:basedOn w:val="55"/>
    <w:qFormat/>
    <w:uiPriority w:val="0"/>
  </w:style>
  <w:style w:type="character" w:styleId="58">
    <w:name w:val="FollowedHyperlink"/>
    <w:qFormat/>
    <w:uiPriority w:val="99"/>
    <w:rPr>
      <w:color w:val="800080"/>
      <w:u w:val="single"/>
    </w:rPr>
  </w:style>
  <w:style w:type="character" w:styleId="59">
    <w:name w:val="Emphasis"/>
    <w:basedOn w:val="55"/>
    <w:qFormat/>
    <w:uiPriority w:val="0"/>
    <w:rPr>
      <w:i/>
      <w:iCs/>
    </w:rPr>
  </w:style>
  <w:style w:type="character" w:styleId="60">
    <w:name w:val="Hyperlink"/>
    <w:qFormat/>
    <w:uiPriority w:val="99"/>
    <w:rPr>
      <w:color w:val="0000FF"/>
      <w:u w:val="single"/>
    </w:rPr>
  </w:style>
  <w:style w:type="character" w:styleId="61">
    <w:name w:val="annotation reference"/>
    <w:qFormat/>
    <w:uiPriority w:val="0"/>
    <w:rPr>
      <w:rFonts w:eastAsia="Times New Roman"/>
      <w:kern w:val="2"/>
      <w:sz w:val="16"/>
      <w:lang w:val="en-GB"/>
    </w:rPr>
  </w:style>
  <w:style w:type="character" w:styleId="62">
    <w:name w:val="footnote reference"/>
    <w:basedOn w:val="55"/>
    <w:semiHidden/>
    <w:qFormat/>
    <w:uiPriority w:val="0"/>
    <w:rPr>
      <w:b/>
      <w:position w:val="6"/>
      <w:sz w:val="16"/>
    </w:rPr>
  </w:style>
  <w:style w:type="paragraph" w:customStyle="1" w:styleId="63">
    <w:name w:val="FP"/>
    <w:basedOn w:val="1"/>
    <w:qFormat/>
    <w:uiPriority w:val="0"/>
    <w:pPr>
      <w:spacing w:after="0"/>
    </w:p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2"/>
    <w:next w:val="1"/>
    <w:qFormat/>
    <w:uiPriority w:val="0"/>
    <w:pPr>
      <w:outlineLvl w:val="9"/>
    </w:pPr>
  </w:style>
  <w:style w:type="paragraph" w:customStyle="1" w:styleId="67">
    <w:name w:val="TAH"/>
    <w:basedOn w:val="68"/>
    <w:link w:val="125"/>
    <w:qFormat/>
    <w:uiPriority w:val="0"/>
    <w:rPr>
      <w:b/>
    </w:rPr>
  </w:style>
  <w:style w:type="paragraph" w:customStyle="1" w:styleId="68">
    <w:name w:val="TAC"/>
    <w:basedOn w:val="69"/>
    <w:link w:val="124"/>
    <w:qFormat/>
    <w:uiPriority w:val="0"/>
    <w:pPr>
      <w:jc w:val="center"/>
    </w:pPr>
  </w:style>
  <w:style w:type="paragraph" w:customStyle="1" w:styleId="69">
    <w:name w:val="TAL"/>
    <w:basedOn w:val="1"/>
    <w:link w:val="147"/>
    <w:qFormat/>
    <w:uiPriority w:val="0"/>
    <w:pPr>
      <w:keepNext/>
      <w:keepLines/>
      <w:spacing w:after="0"/>
    </w:pPr>
    <w:rPr>
      <w:rFonts w:ascii="Arial" w:hAnsi="Arial"/>
      <w:sz w:val="18"/>
    </w:rPr>
  </w:style>
  <w:style w:type="paragraph" w:customStyle="1" w:styleId="70">
    <w:name w:val="TF"/>
    <w:basedOn w:val="71"/>
    <w:qFormat/>
    <w:uiPriority w:val="0"/>
    <w:pPr>
      <w:keepNext w:val="0"/>
      <w:spacing w:before="0" w:after="240"/>
    </w:pPr>
  </w:style>
  <w:style w:type="paragraph" w:customStyle="1" w:styleId="71">
    <w:name w:val="TH"/>
    <w:basedOn w:val="1"/>
    <w:link w:val="146"/>
    <w:qFormat/>
    <w:uiPriority w:val="0"/>
    <w:pPr>
      <w:keepNext/>
      <w:keepLines/>
      <w:spacing w:before="60"/>
      <w:jc w:val="center"/>
    </w:pPr>
    <w:rPr>
      <w:rFonts w:ascii="Arial" w:hAnsi="Arial"/>
      <w:b/>
    </w:rPr>
  </w:style>
  <w:style w:type="paragraph" w:customStyle="1" w:styleId="72">
    <w:name w:val="NO"/>
    <w:basedOn w:val="1"/>
    <w:link w:val="151"/>
    <w:qFormat/>
    <w:uiPriority w:val="0"/>
    <w:pPr>
      <w:keepLines/>
      <w:ind w:left="1135" w:hanging="851"/>
    </w:pPr>
  </w:style>
  <w:style w:type="paragraph" w:customStyle="1" w:styleId="73">
    <w:name w:val="EX"/>
    <w:basedOn w:val="1"/>
    <w:qFormat/>
    <w:uiPriority w:val="0"/>
    <w:pPr>
      <w:keepLines/>
      <w:ind w:left="1702" w:hanging="1418"/>
    </w:p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5">
    <w:name w:val="NW"/>
    <w:basedOn w:val="72"/>
    <w:qFormat/>
    <w:uiPriority w:val="0"/>
    <w:pPr>
      <w:spacing w:after="0"/>
    </w:pPr>
  </w:style>
  <w:style w:type="paragraph" w:customStyle="1" w:styleId="76">
    <w:name w:val="EW"/>
    <w:basedOn w:val="73"/>
    <w:qFormat/>
    <w:uiPriority w:val="0"/>
    <w:pPr>
      <w:spacing w:after="0"/>
    </w:pPr>
  </w:style>
  <w:style w:type="paragraph" w:customStyle="1" w:styleId="77">
    <w:name w:val="EQ"/>
    <w:basedOn w:val="1"/>
    <w:next w:val="1"/>
    <w:qFormat/>
    <w:uiPriority w:val="0"/>
    <w:pPr>
      <w:keepLines/>
      <w:tabs>
        <w:tab w:val="center" w:pos="4536"/>
        <w:tab w:val="right" w:pos="9072"/>
      </w:tabs>
    </w:pPr>
  </w:style>
  <w:style w:type="paragraph" w:customStyle="1" w:styleId="78">
    <w:name w:val="NF"/>
    <w:basedOn w:val="72"/>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0">
    <w:name w:val="TAR"/>
    <w:basedOn w:val="69"/>
    <w:qFormat/>
    <w:uiPriority w:val="0"/>
    <w:pPr>
      <w:jc w:val="right"/>
    </w:pPr>
  </w:style>
  <w:style w:type="paragraph" w:customStyle="1" w:styleId="81">
    <w:name w:val="TAN"/>
    <w:basedOn w:val="69"/>
    <w:link w:val="144"/>
    <w:qFormat/>
    <w:uiPriority w:val="0"/>
    <w:pPr>
      <w:ind w:left="851" w:hanging="851"/>
    </w:pPr>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ZV"/>
    <w:basedOn w:val="85"/>
    <w:qFormat/>
    <w:uiPriority w:val="0"/>
    <w:pPr>
      <w:framePr w:y="16161"/>
    </w:pPr>
  </w:style>
  <w:style w:type="character" w:customStyle="1" w:styleId="87">
    <w:name w:val="ZGSM"/>
    <w:qFormat/>
    <w:uiPriority w:val="0"/>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9">
    <w:name w:val="Editor's Note"/>
    <w:basedOn w:val="72"/>
    <w:qFormat/>
    <w:uiPriority w:val="0"/>
    <w:rPr>
      <w:color w:val="FF0000"/>
    </w:rPr>
  </w:style>
  <w:style w:type="paragraph" w:customStyle="1" w:styleId="90">
    <w:name w:val="B1"/>
    <w:basedOn w:val="14"/>
    <w:link w:val="138"/>
    <w:qFormat/>
    <w:uiPriority w:val="0"/>
  </w:style>
  <w:style w:type="paragraph" w:customStyle="1" w:styleId="91">
    <w:name w:val="B2"/>
    <w:basedOn w:val="13"/>
    <w:link w:val="185"/>
    <w:qFormat/>
    <w:uiPriority w:val="0"/>
  </w:style>
  <w:style w:type="paragraph" w:customStyle="1" w:styleId="92">
    <w:name w:val="B3"/>
    <w:basedOn w:val="12"/>
    <w:qFormat/>
    <w:uiPriority w:val="0"/>
  </w:style>
  <w:style w:type="paragraph" w:customStyle="1" w:styleId="93">
    <w:name w:val="B4"/>
    <w:basedOn w:val="44"/>
    <w:qFormat/>
    <w:uiPriority w:val="0"/>
  </w:style>
  <w:style w:type="paragraph" w:customStyle="1" w:styleId="94">
    <w:name w:val="B5"/>
    <w:basedOn w:val="43"/>
    <w:qFormat/>
    <w:uiPriority w:val="0"/>
  </w:style>
  <w:style w:type="paragraph" w:customStyle="1" w:styleId="95">
    <w:name w:val="ZTD"/>
    <w:basedOn w:val="83"/>
    <w:qFormat/>
    <w:uiPriority w:val="0"/>
    <w:pPr>
      <w:framePr w:hRule="auto" w:y="852"/>
    </w:pPr>
    <w:rPr>
      <w:i w:val="0"/>
      <w:sz w:val="40"/>
    </w:rPr>
  </w:style>
  <w:style w:type="paragraph" w:customStyle="1" w:styleId="96">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7">
    <w:name w:val="正文文本 字符"/>
    <w:link w:val="32"/>
    <w:qFormat/>
    <w:uiPriority w:val="0"/>
    <w:rPr>
      <w:rFonts w:eastAsia="MS Gothic"/>
      <w:sz w:val="24"/>
      <w:lang w:val="en-GB"/>
    </w:rPr>
  </w:style>
  <w:style w:type="character" w:customStyle="1" w:styleId="98">
    <w:name w:val="正文文本缩进 字符"/>
    <w:link w:val="33"/>
    <w:qFormat/>
    <w:uiPriority w:val="0"/>
    <w:rPr>
      <w:rFonts w:eastAsia="MS Gothic"/>
      <w:sz w:val="24"/>
      <w:lang w:val="en-GB"/>
    </w:rPr>
  </w:style>
  <w:style w:type="character" w:customStyle="1" w:styleId="99">
    <w:name w:val="文档结构图 字符"/>
    <w:link w:val="29"/>
    <w:qFormat/>
    <w:uiPriority w:val="0"/>
    <w:rPr>
      <w:rFonts w:ascii="Tahoma" w:hAnsi="Tahoma" w:eastAsia="MS Gothic"/>
      <w:sz w:val="24"/>
      <w:shd w:val="clear" w:color="auto" w:fill="000080"/>
      <w:lang w:val="en-GB"/>
    </w:rPr>
  </w:style>
  <w:style w:type="character" w:customStyle="1" w:styleId="100">
    <w:name w:val="纯文本 字符"/>
    <w:link w:val="34"/>
    <w:qFormat/>
    <w:uiPriority w:val="0"/>
    <w:rPr>
      <w:rFonts w:ascii="Courier New" w:hAnsi="Courier New" w:eastAsia="MS Gothic"/>
      <w:sz w:val="24"/>
      <w:lang w:val="en-GB"/>
    </w:rPr>
  </w:style>
  <w:style w:type="paragraph" w:customStyle="1" w:styleId="101">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2">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3">
    <w:name w:val="正文文本缩进 2 字符"/>
    <w:link w:val="37"/>
    <w:qFormat/>
    <w:uiPriority w:val="0"/>
    <w:rPr>
      <w:rFonts w:eastAsia="MS Gothic"/>
      <w:kern w:val="2"/>
      <w:sz w:val="24"/>
      <w:lang w:val="en-GB"/>
    </w:rPr>
  </w:style>
  <w:style w:type="paragraph" w:customStyle="1" w:styleId="10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5">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6">
    <w:name w:val="标题 字符"/>
    <w:link w:val="51"/>
    <w:qFormat/>
    <w:uiPriority w:val="0"/>
    <w:rPr>
      <w:rFonts w:ascii="Arial" w:hAnsi="Arial" w:eastAsia="MS Gothic"/>
      <w:b/>
      <w:sz w:val="24"/>
      <w:lang w:val="en-GB"/>
    </w:rPr>
  </w:style>
  <w:style w:type="character" w:customStyle="1" w:styleId="107">
    <w:name w:val="正文文本 3 字符"/>
    <w:link w:val="31"/>
    <w:qFormat/>
    <w:uiPriority w:val="0"/>
    <w:rPr>
      <w:rFonts w:eastAsia="MS Gothic"/>
      <w:sz w:val="24"/>
      <w:lang w:val="en-GB"/>
    </w:rPr>
  </w:style>
  <w:style w:type="paragraph" w:customStyle="1" w:styleId="108">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9">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10">
    <w:name w:val="text intend 1"/>
    <w:basedOn w:val="109"/>
    <w:qFormat/>
    <w:uiPriority w:val="0"/>
    <w:pPr>
      <w:numPr>
        <w:ilvl w:val="0"/>
        <w:numId w:val="2"/>
      </w:numPr>
      <w:spacing w:after="120"/>
    </w:pPr>
  </w:style>
  <w:style w:type="paragraph" w:customStyle="1" w:styleId="111">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2">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3">
    <w:name w:val="批注框文本 字符"/>
    <w:link w:val="38"/>
    <w:qFormat/>
    <w:uiPriority w:val="0"/>
    <w:rPr>
      <w:rFonts w:ascii="Arial" w:hAnsi="Arial" w:eastAsia="MS Gothic"/>
      <w:sz w:val="18"/>
      <w:lang w:val="en-GB"/>
    </w:rPr>
  </w:style>
  <w:style w:type="paragraph" w:customStyle="1" w:styleId="11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5">
    <w:name w:val="批注文字 字符"/>
    <w:link w:val="30"/>
    <w:qFormat/>
    <w:uiPriority w:val="99"/>
    <w:rPr>
      <w:rFonts w:eastAsia="MS Gothic"/>
      <w:lang w:val="en-GB"/>
    </w:rPr>
  </w:style>
  <w:style w:type="paragraph" w:customStyle="1" w:styleId="11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7">
    <w:name w:val="図表番号 (文字)"/>
    <w:qFormat/>
    <w:uiPriority w:val="35"/>
    <w:rPr>
      <w:rFonts w:eastAsia="MS Gothic"/>
      <w:b/>
      <w:kern w:val="2"/>
      <w:sz w:val="24"/>
      <w:lang w:val="en-GB"/>
    </w:rPr>
  </w:style>
  <w:style w:type="paragraph" w:customStyle="1" w:styleId="11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9">
    <w:name w:val="批注主题 字符"/>
    <w:link w:val="52"/>
    <w:qFormat/>
    <w:uiPriority w:val="0"/>
    <w:rPr>
      <w:rFonts w:eastAsia="MS Gothic"/>
      <w:b/>
      <w:sz w:val="24"/>
      <w:lang w:val="en-GB"/>
    </w:rPr>
  </w:style>
  <w:style w:type="paragraph" w:customStyle="1" w:styleId="12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2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4">
    <w:name w:val="TAC Char"/>
    <w:link w:val="68"/>
    <w:qFormat/>
    <w:uiPriority w:val="0"/>
    <w:rPr>
      <w:rFonts w:ascii="Arial" w:hAnsi="Arial" w:eastAsia="Times New Roman"/>
      <w:sz w:val="18"/>
      <w:lang w:val="en-GB" w:eastAsia="en-GB"/>
    </w:rPr>
  </w:style>
  <w:style w:type="character" w:customStyle="1" w:styleId="125">
    <w:name w:val="TAH Car"/>
    <w:link w:val="67"/>
    <w:qFormat/>
    <w:uiPriority w:val="0"/>
    <w:rPr>
      <w:rFonts w:ascii="Arial" w:hAnsi="Arial" w:eastAsia="Times New Roman"/>
      <w:b/>
      <w:sz w:val="18"/>
      <w:lang w:val="en-GB" w:eastAsia="en-GB"/>
    </w:rPr>
  </w:style>
  <w:style w:type="paragraph" w:customStyle="1" w:styleId="12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7">
    <w:name w:val="表 (赤)  71"/>
    <w:hidden/>
    <w:semiHidden/>
    <w:qFormat/>
    <w:uiPriority w:val="99"/>
    <w:rPr>
      <w:rFonts w:ascii="Times New Roman" w:hAnsi="Times New Roman" w:eastAsia="MS Gothic" w:cs="Times New Roman"/>
      <w:sz w:val="24"/>
      <w:lang w:val="en-GB" w:eastAsia="ja-JP" w:bidi="ar-SA"/>
    </w:rPr>
  </w:style>
  <w:style w:type="character" w:customStyle="1" w:styleId="128">
    <w:name w:val="页眉 字符"/>
    <w:link w:val="40"/>
    <w:qFormat/>
    <w:locked/>
    <w:uiPriority w:val="0"/>
    <w:rPr>
      <w:rFonts w:ascii="Arial" w:hAnsi="Arial" w:eastAsia="Times New Roman"/>
      <w:b/>
      <w:sz w:val="18"/>
      <w:lang w:val="en-GB" w:eastAsia="en-GB"/>
    </w:rPr>
  </w:style>
  <w:style w:type="paragraph" w:customStyle="1" w:styleId="129">
    <w:name w:val="修订1"/>
    <w:hidden/>
    <w:semiHidden/>
    <w:qFormat/>
    <w:uiPriority w:val="99"/>
    <w:rPr>
      <w:rFonts w:ascii="Times New Roman" w:hAnsi="Times New Roman" w:eastAsia="MS Gothic" w:cs="Times New Roman"/>
      <w:sz w:val="24"/>
      <w:lang w:val="en-GB" w:eastAsia="ja-JP" w:bidi="ar-SA"/>
    </w:rPr>
  </w:style>
  <w:style w:type="paragraph" w:customStyle="1" w:styleId="130">
    <w:name w:val="Doc-title"/>
    <w:basedOn w:val="1"/>
    <w:next w:val="131"/>
    <w:link w:val="133"/>
    <w:qFormat/>
    <w:uiPriority w:val="0"/>
    <w:pPr>
      <w:overflowPunct/>
      <w:autoSpaceDE/>
      <w:autoSpaceDN/>
      <w:adjustRightInd/>
      <w:spacing w:after="0"/>
      <w:ind w:left="1260" w:hanging="1260"/>
      <w:textAlignment w:val="auto"/>
    </w:pPr>
    <w:rPr>
      <w:rFonts w:ascii="Arial" w:hAnsi="Arial"/>
      <w:szCs w:val="24"/>
    </w:rPr>
  </w:style>
  <w:style w:type="paragraph" w:customStyle="1" w:styleId="131">
    <w:name w:val="Doc-text2"/>
    <w:basedOn w:val="1"/>
    <w:link w:val="132"/>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32">
    <w:name w:val="Doc-text2 Char"/>
    <w:link w:val="131"/>
    <w:qFormat/>
    <w:uiPriority w:val="0"/>
    <w:rPr>
      <w:rFonts w:ascii="Arial" w:hAnsi="Arial"/>
      <w:szCs w:val="24"/>
      <w:lang w:val="en-GB" w:eastAsia="en-GB"/>
    </w:rPr>
  </w:style>
  <w:style w:type="character" w:customStyle="1" w:styleId="133">
    <w:name w:val="Doc-title Char"/>
    <w:link w:val="130"/>
    <w:qFormat/>
    <w:uiPriority w:val="0"/>
    <w:rPr>
      <w:rFonts w:ascii="Arial" w:hAnsi="Arial"/>
      <w:szCs w:val="24"/>
      <w:lang w:val="en-GB" w:eastAsia="en-GB"/>
    </w:rPr>
  </w:style>
  <w:style w:type="paragraph" w:styleId="134">
    <w:name w:val="List Paragraph"/>
    <w:basedOn w:val="1"/>
    <w:link w:val="135"/>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5">
    <w:name w:val="列表段落 字符"/>
    <w:link w:val="134"/>
    <w:qFormat/>
    <w:uiPriority w:val="34"/>
    <w:rPr>
      <w:rFonts w:ascii="Century" w:hAnsi="Century"/>
      <w:kern w:val="2"/>
      <w:sz w:val="21"/>
      <w:szCs w:val="22"/>
    </w:rPr>
  </w:style>
  <w:style w:type="paragraph" w:customStyle="1" w:styleId="136">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7">
    <w:name w:val="main text Char"/>
    <w:link w:val="136"/>
    <w:qFormat/>
    <w:uiPriority w:val="0"/>
    <w:rPr>
      <w:rFonts w:ascii="Calibri" w:hAnsi="Calibri" w:eastAsia="Malgun Gothic" w:cs="Batang"/>
      <w:lang w:val="en-GB" w:eastAsia="ko-KR"/>
    </w:rPr>
  </w:style>
  <w:style w:type="character" w:customStyle="1" w:styleId="138">
    <w:name w:val="B1 Char1"/>
    <w:link w:val="90"/>
    <w:qFormat/>
    <w:locked/>
    <w:uiPriority w:val="0"/>
    <w:rPr>
      <w:rFonts w:eastAsia="Times New Roman"/>
      <w:lang w:val="en-GB" w:eastAsia="en-GB"/>
    </w:rPr>
  </w:style>
  <w:style w:type="paragraph" w:customStyle="1" w:styleId="139">
    <w:name w:val="스타일 스타일 스타일 스타일 양쪽 첫 줄:  2 글자 + 첫 줄:  2 글자 + 첫 줄:  2 글자 + 첫 줄:  2..."/>
    <w:basedOn w:val="1"/>
    <w:link w:val="140"/>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40">
    <w:name w:val="스타일 스타일 스타일 스타일 양쪽 첫 줄:  2 글자 + 첫 줄:  2 글자 + 첫 줄:  2 글자 + 첫 줄:  2... Char"/>
    <w:link w:val="139"/>
    <w:qFormat/>
    <w:uiPriority w:val="0"/>
    <w:rPr>
      <w:rFonts w:eastAsia="Malgun Gothic" w:cs="Batang"/>
      <w:lang w:val="en-GB" w:eastAsia="en-US"/>
    </w:rPr>
  </w:style>
  <w:style w:type="paragraph" w:customStyle="1" w:styleId="141">
    <w:name w:val="CR Cover Page"/>
    <w:qFormat/>
    <w:uiPriority w:val="0"/>
    <w:pPr>
      <w:spacing w:after="120"/>
    </w:pPr>
    <w:rPr>
      <w:rFonts w:ascii="Arial" w:hAnsi="Arial" w:eastAsia="宋体" w:cs="Times New Roman"/>
      <w:lang w:val="en-GB" w:eastAsia="en-US" w:bidi="ar-SA"/>
    </w:rPr>
  </w:style>
  <w:style w:type="paragraph" w:customStyle="1" w:styleId="14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3">
    <w:name w:val="Table_head"/>
    <w:basedOn w:val="142"/>
    <w:next w:val="142"/>
    <w:qFormat/>
    <w:uiPriority w:val="0"/>
    <w:pPr>
      <w:keepNext/>
      <w:spacing w:before="80" w:after="80"/>
      <w:jc w:val="center"/>
    </w:pPr>
    <w:rPr>
      <w:b/>
    </w:rPr>
  </w:style>
  <w:style w:type="character" w:customStyle="1" w:styleId="144">
    <w:name w:val="TAN Char"/>
    <w:link w:val="81"/>
    <w:qFormat/>
    <w:uiPriority w:val="0"/>
    <w:rPr>
      <w:rFonts w:ascii="Arial" w:hAnsi="Arial" w:eastAsia="Times New Roman"/>
      <w:sz w:val="18"/>
      <w:lang w:val="en-GB" w:eastAsia="en-GB"/>
    </w:rPr>
  </w:style>
  <w:style w:type="character" w:customStyle="1" w:styleId="145">
    <w:name w:val="页脚 字符"/>
    <w:link w:val="39"/>
    <w:qFormat/>
    <w:uiPriority w:val="0"/>
    <w:rPr>
      <w:rFonts w:ascii="Arial" w:hAnsi="Arial" w:eastAsia="Times New Roman"/>
      <w:b/>
      <w:i/>
      <w:sz w:val="18"/>
      <w:lang w:val="en-GB" w:eastAsia="en-GB"/>
    </w:rPr>
  </w:style>
  <w:style w:type="character" w:customStyle="1" w:styleId="146">
    <w:name w:val="TH Char"/>
    <w:link w:val="71"/>
    <w:qFormat/>
    <w:locked/>
    <w:uiPriority w:val="0"/>
    <w:rPr>
      <w:rFonts w:ascii="Arial" w:hAnsi="Arial" w:eastAsia="Times New Roman"/>
      <w:b/>
      <w:lang w:val="en-GB" w:eastAsia="en-GB"/>
    </w:rPr>
  </w:style>
  <w:style w:type="character" w:customStyle="1" w:styleId="147">
    <w:name w:val="TAL Car"/>
    <w:link w:val="69"/>
    <w:qFormat/>
    <w:locked/>
    <w:uiPriority w:val="0"/>
    <w:rPr>
      <w:rFonts w:ascii="Arial" w:hAnsi="Arial" w:eastAsia="Times New Roman"/>
      <w:sz w:val="18"/>
      <w:lang w:val="en-GB" w:eastAsia="en-GB"/>
    </w:rPr>
  </w:style>
  <w:style w:type="paragraph" w:customStyle="1" w:styleId="148">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9">
    <w:name w:val="标题 7 字符"/>
    <w:link w:val="9"/>
    <w:qFormat/>
    <w:uiPriority w:val="0"/>
    <w:rPr>
      <w:rFonts w:ascii="Arial" w:hAnsi="Arial" w:eastAsia="Times New Roman"/>
      <w:lang w:val="en-GB" w:eastAsia="en-GB"/>
    </w:rPr>
  </w:style>
  <w:style w:type="character" w:customStyle="1" w:styleId="150">
    <w:name w:val="标题 6 字符"/>
    <w:basedOn w:val="55"/>
    <w:link w:val="7"/>
    <w:qFormat/>
    <w:uiPriority w:val="0"/>
    <w:rPr>
      <w:rFonts w:ascii="Arial" w:hAnsi="Arial" w:eastAsia="Times New Roman"/>
      <w:lang w:val="en-GB" w:eastAsia="en-GB"/>
    </w:rPr>
  </w:style>
  <w:style w:type="character" w:customStyle="1" w:styleId="151">
    <w:name w:val="NO Char"/>
    <w:link w:val="72"/>
    <w:qFormat/>
    <w:locked/>
    <w:uiPriority w:val="99"/>
    <w:rPr>
      <w:rFonts w:eastAsia="Times New Roman"/>
      <w:lang w:val="en-GB" w:eastAsia="en-GB"/>
    </w:rPr>
  </w:style>
  <w:style w:type="character" w:customStyle="1" w:styleId="152">
    <w:name w:val="apple-converted-space"/>
    <w:basedOn w:val="55"/>
    <w:qFormat/>
    <w:uiPriority w:val="0"/>
  </w:style>
  <w:style w:type="paragraph" w:customStyle="1" w:styleId="153">
    <w:name w:val="tac"/>
    <w:basedOn w:val="1"/>
    <w:qFormat/>
    <w:uiPriority w:val="0"/>
    <w:pPr>
      <w:keepNext/>
      <w:overflowPunct/>
      <w:adjustRightInd/>
      <w:spacing w:after="0"/>
      <w:jc w:val="center"/>
      <w:textAlignment w:val="auto"/>
    </w:pPr>
    <w:rPr>
      <w:rFonts w:ascii="Arial" w:hAnsi="Arial" w:eastAsia="宋体" w:cs="Arial"/>
      <w:sz w:val="18"/>
      <w:szCs w:val="18"/>
      <w:lang w:val="en-US" w:eastAsia="zh-CN"/>
    </w:rPr>
  </w:style>
  <w:style w:type="character" w:customStyle="1" w:styleId="154">
    <w:name w:val="msoins"/>
    <w:basedOn w:val="55"/>
    <w:qFormat/>
    <w:uiPriority w:val="0"/>
  </w:style>
  <w:style w:type="character" w:customStyle="1" w:styleId="155">
    <w:name w:val="列出段落 字符2"/>
    <w:qFormat/>
    <w:locked/>
    <w:uiPriority w:val="34"/>
    <w:rPr>
      <w:rFonts w:ascii="Times New Roman" w:hAnsi="Times New Roman" w:eastAsia="宋体" w:cs="Times New Roman"/>
      <w:kern w:val="0"/>
      <w:sz w:val="22"/>
      <w:lang w:eastAsia="en-US"/>
    </w:rPr>
  </w:style>
  <w:style w:type="character" w:customStyle="1" w:styleId="156">
    <w:name w:val="副标题 字符"/>
    <w:basedOn w:val="55"/>
    <w:link w:val="41"/>
    <w:qFormat/>
    <w:uiPriority w:val="0"/>
    <w:rPr>
      <w:rFonts w:ascii="Cambria" w:hAnsi="Cambria" w:eastAsia="Times New Roman"/>
      <w:sz w:val="24"/>
      <w:szCs w:val="24"/>
      <w:lang w:val="en-GB" w:eastAsia="en-IN"/>
    </w:rPr>
  </w:style>
  <w:style w:type="character" w:customStyle="1" w:styleId="157">
    <w:name w:val="正文文本 2 字符"/>
    <w:basedOn w:val="55"/>
    <w:link w:val="47"/>
    <w:qFormat/>
    <w:uiPriority w:val="0"/>
    <w:rPr>
      <w:rFonts w:ascii="Arial" w:hAnsi="Arial" w:eastAsia="Times New Roman"/>
      <w:sz w:val="22"/>
      <w:lang w:val="en-GB" w:eastAsia="en-IN"/>
    </w:rPr>
  </w:style>
  <w:style w:type="character" w:customStyle="1" w:styleId="158">
    <w:name w:val="标题 5 字符"/>
    <w:link w:val="6"/>
    <w:qFormat/>
    <w:uiPriority w:val="0"/>
    <w:rPr>
      <w:rFonts w:ascii="Arial" w:hAnsi="Arial" w:eastAsia="Times New Roman"/>
      <w:sz w:val="22"/>
      <w:lang w:val="en-GB" w:eastAsia="en-GB"/>
    </w:rPr>
  </w:style>
  <w:style w:type="character" w:customStyle="1" w:styleId="159">
    <w:name w:val="MTEquationSection"/>
    <w:qFormat/>
    <w:uiPriority w:val="0"/>
    <w:rPr>
      <w:rFonts w:ascii="Arial" w:hAnsi="Arial"/>
      <w:color w:val="FF0000"/>
      <w:sz w:val="24"/>
    </w:rPr>
  </w:style>
  <w:style w:type="paragraph" w:customStyle="1" w:styleId="160">
    <w:name w:val="Bulleted o 1"/>
    <w:basedOn w:val="1"/>
    <w:qFormat/>
    <w:uiPriority w:val="0"/>
    <w:pPr>
      <w:numPr>
        <w:ilvl w:val="0"/>
        <w:numId w:val="4"/>
      </w:numPr>
      <w:snapToGrid w:val="0"/>
      <w:spacing w:after="120" w:line="276" w:lineRule="auto"/>
      <w:jc w:val="both"/>
    </w:pPr>
    <w:rPr>
      <w:lang w:eastAsia="en-IN"/>
    </w:rPr>
  </w:style>
  <w:style w:type="paragraph" w:customStyle="1" w:styleId="161">
    <w:name w:val="Equation"/>
    <w:basedOn w:val="1"/>
    <w:next w:val="1"/>
    <w:qFormat/>
    <w:uiPriority w:val="0"/>
    <w:pPr>
      <w:tabs>
        <w:tab w:val="right" w:pos="10206"/>
      </w:tabs>
      <w:snapToGrid w:val="0"/>
      <w:spacing w:after="220" w:line="276" w:lineRule="auto"/>
      <w:ind w:left="1298"/>
      <w:jc w:val="both"/>
    </w:pPr>
    <w:rPr>
      <w:rFonts w:ascii="Arial" w:hAnsi="Arial"/>
      <w:sz w:val="22"/>
      <w:lang w:eastAsia="zh-CN"/>
    </w:rPr>
  </w:style>
  <w:style w:type="paragraph" w:customStyle="1" w:styleId="162">
    <w:name w:val="00 BodyText"/>
    <w:basedOn w:val="1"/>
    <w:qFormat/>
    <w:uiPriority w:val="0"/>
    <w:pPr>
      <w:snapToGrid w:val="0"/>
      <w:spacing w:after="220" w:line="276" w:lineRule="auto"/>
      <w:jc w:val="both"/>
    </w:pPr>
    <w:rPr>
      <w:rFonts w:ascii="Arial" w:hAnsi="Arial"/>
      <w:sz w:val="22"/>
      <w:lang w:eastAsia="en-IN"/>
    </w:rPr>
  </w:style>
  <w:style w:type="paragraph" w:customStyle="1" w:styleId="163">
    <w:name w:val="11 BodyText"/>
    <w:basedOn w:val="1"/>
    <w:qFormat/>
    <w:uiPriority w:val="0"/>
    <w:pPr>
      <w:snapToGrid w:val="0"/>
      <w:spacing w:after="220" w:line="276" w:lineRule="auto"/>
      <w:ind w:left="1298"/>
      <w:jc w:val="both"/>
    </w:pPr>
    <w:rPr>
      <w:rFonts w:ascii="Arial" w:hAnsi="Arial"/>
      <w:sz w:val="22"/>
      <w:lang w:eastAsia="en-IN"/>
    </w:rPr>
  </w:style>
  <w:style w:type="paragraph" w:customStyle="1" w:styleId="164">
    <w:name w:val="table"/>
    <w:basedOn w:val="109"/>
    <w:next w:val="109"/>
    <w:qFormat/>
    <w:uiPriority w:val="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165">
    <w:name w:val="body Char Char Char"/>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6">
    <w:name w:val="Heading 1 Char"/>
    <w:qFormat/>
    <w:uiPriority w:val="0"/>
    <w:rPr>
      <w:rFonts w:ascii="Arial" w:hAnsi="Arial"/>
      <w:sz w:val="36"/>
      <w:lang w:val="en-GB" w:eastAsia="en-US" w:bidi="ar-SA"/>
    </w:rPr>
  </w:style>
  <w:style w:type="paragraph" w:customStyle="1" w:styleId="167">
    <w:name w:val="body"/>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8">
    <w:name w:val="标题 1 字符"/>
    <w:qFormat/>
    <w:uiPriority w:val="0"/>
    <w:rPr>
      <w:rFonts w:ascii="Arial" w:hAnsi="Arial" w:eastAsia="Times New Roman"/>
      <w:sz w:val="36"/>
      <w:lang w:val="en-GB" w:eastAsia="en-IN"/>
    </w:rPr>
  </w:style>
  <w:style w:type="character" w:customStyle="1" w:styleId="169">
    <w:name w:val="标题 2 字符"/>
    <w:qFormat/>
    <w:uiPriority w:val="0"/>
    <w:rPr>
      <w:rFonts w:ascii="Arial" w:hAnsi="Arial" w:eastAsia="Times New Roman"/>
      <w:sz w:val="32"/>
      <w:lang w:val="en-GB" w:eastAsia="en-IN"/>
    </w:rPr>
  </w:style>
  <w:style w:type="character" w:customStyle="1" w:styleId="170">
    <w:name w:val="标题 3 字符"/>
    <w:qFormat/>
    <w:uiPriority w:val="0"/>
    <w:rPr>
      <w:rFonts w:ascii="Times New Roman" w:hAnsi="Times New Roman" w:eastAsia="Times New Roman"/>
      <w:b/>
      <w:sz w:val="21"/>
      <w:lang w:val="en-GB" w:eastAsia="en-IN"/>
    </w:rPr>
  </w:style>
  <w:style w:type="character" w:customStyle="1" w:styleId="171">
    <w:name w:val="标题 4 字符"/>
    <w:qFormat/>
    <w:uiPriority w:val="0"/>
    <w:rPr>
      <w:rFonts w:ascii="Times New Roman" w:hAnsi="Times New Roman" w:eastAsia="Times New Roman"/>
      <w:b/>
      <w:sz w:val="24"/>
      <w:lang w:val="en-GB" w:eastAsia="en-IN"/>
    </w:rPr>
  </w:style>
  <w:style w:type="character" w:customStyle="1" w:styleId="172">
    <w:name w:val="Char Char3"/>
    <w:qFormat/>
    <w:uiPriority w:val="0"/>
    <w:rPr>
      <w:rFonts w:ascii="Arial" w:hAnsi="Arial"/>
      <w:sz w:val="36"/>
      <w:lang w:val="en-GB" w:eastAsia="en-US" w:bidi="ar-SA"/>
    </w:rPr>
  </w:style>
  <w:style w:type="character" w:customStyle="1" w:styleId="173">
    <w:name w:val="Char Char2"/>
    <w:qFormat/>
    <w:uiPriority w:val="0"/>
    <w:rPr>
      <w:rFonts w:ascii="Arial" w:hAnsi="Arial"/>
      <w:sz w:val="32"/>
      <w:lang w:val="en-GB" w:eastAsia="en-US" w:bidi="ar-SA"/>
    </w:rPr>
  </w:style>
  <w:style w:type="character" w:customStyle="1" w:styleId="174">
    <w:name w:val="Char Char1"/>
    <w:qFormat/>
    <w:uiPriority w:val="0"/>
    <w:rPr>
      <w:rFonts w:ascii="Arial" w:hAnsi="Arial"/>
      <w:sz w:val="28"/>
      <w:lang w:val="en-GB" w:eastAsia="en-US" w:bidi="ar-SA"/>
    </w:rPr>
  </w:style>
  <w:style w:type="character" w:customStyle="1" w:styleId="175">
    <w:name w:val="h4 Char Char"/>
    <w:qFormat/>
    <w:uiPriority w:val="0"/>
    <w:rPr>
      <w:rFonts w:ascii="Arial" w:hAnsi="Arial"/>
      <w:sz w:val="24"/>
      <w:lang w:val="en-GB" w:eastAsia="en-US" w:bidi="ar-SA"/>
    </w:rPr>
  </w:style>
  <w:style w:type="character" w:customStyle="1" w:styleId="176">
    <w:name w:val="Char Char"/>
    <w:qFormat/>
    <w:uiPriority w:val="0"/>
    <w:rPr>
      <w:rFonts w:ascii="Arial" w:hAnsi="Arial"/>
      <w:sz w:val="22"/>
      <w:lang w:val="en-GB" w:eastAsia="en-US" w:bidi="ar-SA"/>
    </w:rPr>
  </w:style>
  <w:style w:type="paragraph" w:customStyle="1" w:styleId="177">
    <w:name w:val="修订11"/>
    <w:hidden/>
    <w:semiHidden/>
    <w:qFormat/>
    <w:uiPriority w:val="99"/>
    <w:pPr>
      <w:spacing w:after="160" w:line="259" w:lineRule="auto"/>
      <w:jc w:val="both"/>
    </w:pPr>
    <w:rPr>
      <w:rFonts w:ascii="Times New Roman" w:hAnsi="Times New Roman" w:eastAsia="宋体" w:cs="Times New Roman"/>
      <w:lang w:val="en-GB" w:eastAsia="en-US" w:bidi="ar-SA"/>
    </w:rPr>
  </w:style>
  <w:style w:type="paragraph" w:customStyle="1" w:styleId="17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character" w:styleId="179">
    <w:name w:val="Placeholder Text"/>
    <w:semiHidden/>
    <w:qFormat/>
    <w:uiPriority w:val="99"/>
    <w:rPr>
      <w:color w:val="808080"/>
    </w:rPr>
  </w:style>
  <w:style w:type="paragraph" w:customStyle="1" w:styleId="180">
    <w:name w:val="References"/>
    <w:basedOn w:val="1"/>
    <w:qFormat/>
    <w:uiPriority w:val="0"/>
    <w:pPr>
      <w:numPr>
        <w:ilvl w:val="0"/>
        <w:numId w:val="5"/>
      </w:numPr>
      <w:tabs>
        <w:tab w:val="left" w:pos="360"/>
      </w:tabs>
      <w:overflowPunct/>
      <w:adjustRightInd/>
      <w:snapToGrid w:val="0"/>
      <w:spacing w:after="60" w:line="276" w:lineRule="auto"/>
      <w:jc w:val="both"/>
      <w:textAlignment w:val="auto"/>
    </w:pPr>
    <w:rPr>
      <w:szCs w:val="16"/>
      <w:lang w:eastAsia="en-IN"/>
    </w:rPr>
  </w:style>
  <w:style w:type="table" w:customStyle="1" w:styleId="181">
    <w:name w:val="网格表 4 - 着色 11"/>
    <w:basedOn w:val="53"/>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82">
    <w:name w:val="题注 字符"/>
    <w:link w:val="28"/>
    <w:qFormat/>
    <w:uiPriority w:val="0"/>
    <w:rPr>
      <w:rFonts w:eastAsia="MS Gothic"/>
      <w:b/>
      <w:sz w:val="24"/>
      <w:lang w:val="en-GB"/>
    </w:rPr>
  </w:style>
  <w:style w:type="paragraph" w:customStyle="1" w:styleId="183">
    <w:name w:val="Proposal"/>
    <w:basedOn w:val="1"/>
    <w:link w:val="184"/>
    <w:qFormat/>
    <w:uiPriority w:val="0"/>
    <w:pPr>
      <w:numPr>
        <w:ilvl w:val="0"/>
        <w:numId w:val="6"/>
      </w:numPr>
      <w:tabs>
        <w:tab w:val="left" w:pos="1152"/>
      </w:tabs>
      <w:snapToGrid w:val="0"/>
      <w:spacing w:before="240" w:after="240" w:line="276" w:lineRule="auto"/>
      <w:jc w:val="both"/>
    </w:pPr>
    <w:rPr>
      <w:rFonts w:eastAsia="MS Mincho"/>
      <w:i/>
      <w:lang w:eastAsia="ja-JP"/>
    </w:rPr>
  </w:style>
  <w:style w:type="character" w:customStyle="1" w:styleId="184">
    <w:name w:val="Proposal Char"/>
    <w:basedOn w:val="55"/>
    <w:link w:val="183"/>
    <w:qFormat/>
    <w:uiPriority w:val="0"/>
    <w:rPr>
      <w:rFonts w:eastAsia="MS Mincho"/>
      <w:i/>
      <w:lang w:val="en-GB"/>
    </w:rPr>
  </w:style>
  <w:style w:type="character" w:customStyle="1" w:styleId="185">
    <w:name w:val="B2 Char"/>
    <w:basedOn w:val="55"/>
    <w:link w:val="91"/>
    <w:qFormat/>
    <w:locked/>
    <w:uiPriority w:val="0"/>
    <w:rPr>
      <w:rFonts w:eastAsia="Times New Roman"/>
      <w:lang w:val="en-GB" w:eastAsia="en-GB"/>
    </w:rPr>
  </w:style>
  <w:style w:type="character" w:customStyle="1" w:styleId="186">
    <w:name w:val="明显强调1"/>
    <w:basedOn w:val="55"/>
    <w:qFormat/>
    <w:uiPriority w:val="21"/>
    <w:rPr>
      <w:i/>
      <w:iCs/>
      <w:color w:val="5B9BD5" w:themeColor="accent1"/>
      <w14:textFill>
        <w14:solidFill>
          <w14:schemeClr w14:val="accent1"/>
        </w14:solidFill>
      </w14:textFill>
    </w:rPr>
  </w:style>
  <w:style w:type="character" w:customStyle="1" w:styleId="187">
    <w:name w:val="不明显强调1"/>
    <w:basedOn w:val="55"/>
    <w:qFormat/>
    <w:uiPriority w:val="19"/>
    <w:rPr>
      <w:i/>
      <w:iCs/>
      <w:color w:val="404040" w:themeColor="text1" w:themeTint="BF"/>
      <w14:textFill>
        <w14:solidFill>
          <w14:schemeClr w14:val="tx1">
            <w14:lumMod w14:val="75000"/>
            <w14:lumOff w14:val="25000"/>
          </w14:schemeClr>
        </w14:solidFill>
      </w14:textFill>
    </w:rPr>
  </w:style>
  <w:style w:type="paragraph" w:customStyle="1" w:styleId="188">
    <w:name w:val="Figure"/>
    <w:basedOn w:val="1"/>
    <w:link w:val="190"/>
    <w:qFormat/>
    <w:uiPriority w:val="0"/>
    <w:pPr>
      <w:numPr>
        <w:ilvl w:val="0"/>
        <w:numId w:val="7"/>
      </w:numPr>
      <w:snapToGrid w:val="0"/>
      <w:spacing w:after="120" w:line="276" w:lineRule="auto"/>
      <w:jc w:val="center"/>
    </w:pPr>
    <w:rPr>
      <w:lang w:eastAsia="en-IN"/>
    </w:rPr>
  </w:style>
  <w:style w:type="paragraph" w:customStyle="1" w:styleId="189">
    <w:name w:val="Table"/>
    <w:basedOn w:val="188"/>
    <w:link w:val="192"/>
    <w:qFormat/>
    <w:uiPriority w:val="0"/>
    <w:pPr>
      <w:numPr>
        <w:numId w:val="8"/>
      </w:numPr>
    </w:pPr>
  </w:style>
  <w:style w:type="character" w:customStyle="1" w:styleId="190">
    <w:name w:val="Figure Char"/>
    <w:basedOn w:val="55"/>
    <w:link w:val="188"/>
    <w:qFormat/>
    <w:uiPriority w:val="0"/>
    <w:rPr>
      <w:rFonts w:eastAsia="Times New Roman"/>
      <w:lang w:val="en-GB" w:eastAsia="en-IN"/>
    </w:rPr>
  </w:style>
  <w:style w:type="paragraph" w:customStyle="1" w:styleId="191">
    <w:name w:val="Observation"/>
    <w:basedOn w:val="183"/>
    <w:link w:val="193"/>
    <w:qFormat/>
    <w:uiPriority w:val="0"/>
    <w:pPr>
      <w:numPr>
        <w:ilvl w:val="0"/>
        <w:numId w:val="9"/>
      </w:numPr>
      <w:ind w:left="0" w:firstLine="0"/>
    </w:pPr>
  </w:style>
  <w:style w:type="character" w:customStyle="1" w:styleId="192">
    <w:name w:val="Table Char"/>
    <w:basedOn w:val="190"/>
    <w:link w:val="189"/>
    <w:qFormat/>
    <w:uiPriority w:val="0"/>
    <w:rPr>
      <w:rFonts w:eastAsia="Times New Roman"/>
      <w:lang w:val="en-GB" w:eastAsia="en-IN"/>
    </w:rPr>
  </w:style>
  <w:style w:type="character" w:customStyle="1" w:styleId="193">
    <w:name w:val="Observation Char"/>
    <w:basedOn w:val="184"/>
    <w:link w:val="191"/>
    <w:qFormat/>
    <w:uiPriority w:val="0"/>
    <w:rPr>
      <w:rFonts w:eastAsia="MS Mincho"/>
      <w:lang w:val="en-GB"/>
    </w:rPr>
  </w:style>
  <w:style w:type="table" w:customStyle="1" w:styleId="194">
    <w:name w:val="Table Grid1"/>
    <w:basedOn w:val="53"/>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95">
    <w:name w:val="Table Normal1"/>
    <w:basedOn w:val="53"/>
    <w:semiHidden/>
    <w:qFormat/>
    <w:uiPriority w:val="0"/>
    <w:rPr>
      <w:rFonts w:eastAsia="CG Times (WN)"/>
    </w:rPr>
  </w:style>
  <w:style w:type="character" w:customStyle="1" w:styleId="196">
    <w:name w:val="Subtle Emphasis1"/>
    <w:basedOn w:val="55"/>
    <w:qFormat/>
    <w:uiPriority w:val="19"/>
    <w:rPr>
      <w:i/>
      <w:iCs/>
      <w:color w:val="404040" w:themeColor="text1" w:themeTint="BF"/>
      <w14:textFill>
        <w14:solidFill>
          <w14:schemeClr w14:val="tx1">
            <w14:lumMod w14:val="75000"/>
            <w14:lumOff w14:val="25000"/>
          </w14:schemeClr>
        </w14:solidFill>
      </w14:textFill>
    </w:rPr>
  </w:style>
  <w:style w:type="character" w:customStyle="1" w:styleId="197">
    <w:name w:val="Intense Emphasis1"/>
    <w:basedOn w:val="55"/>
    <w:qFormat/>
    <w:uiPriority w:val="21"/>
    <w:rPr>
      <w:i/>
      <w:iCs/>
      <w:color w:val="5B9BD5" w:themeColor="accent1"/>
      <w14:textFill>
        <w14:solidFill>
          <w14:schemeClr w14:val="accent1"/>
        </w14:solidFill>
      </w14:textFill>
    </w:rPr>
  </w:style>
  <w:style w:type="character" w:customStyle="1" w:styleId="198">
    <w:name w:val="Subtle Reference1"/>
    <w:basedOn w:val="55"/>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99">
    <w:name w:val="Book Title1"/>
    <w:basedOn w:val="55"/>
    <w:qFormat/>
    <w:uiPriority w:val="33"/>
    <w:rPr>
      <w:b/>
      <w:bCs/>
      <w:i/>
      <w:iCs/>
      <w:spacing w:val="5"/>
    </w:rPr>
  </w:style>
  <w:style w:type="paragraph" w:customStyle="1" w:styleId="200">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201">
    <w:name w:val="IvD Instructiontext"/>
    <w:basedOn w:val="32"/>
    <w:link w:val="202"/>
    <w:qFormat/>
    <w:uiPriority w:val="99"/>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i/>
      <w:color w:val="808080" w:themeColor="text1" w:themeTint="80"/>
      <w:spacing w:val="2"/>
      <w:sz w:val="18"/>
      <w:szCs w:val="18"/>
      <w:lang w:eastAsia="en-IN"/>
      <w14:textFill>
        <w14:solidFill>
          <w14:schemeClr w14:val="tx1">
            <w14:lumMod w14:val="50000"/>
            <w14:lumOff w14:val="50000"/>
          </w14:schemeClr>
        </w14:solidFill>
      </w14:textFill>
    </w:rPr>
  </w:style>
  <w:style w:type="character" w:customStyle="1" w:styleId="202">
    <w:name w:val="IvD Instructiontext Char"/>
    <w:link w:val="201"/>
    <w:qFormat/>
    <w:uiPriority w:val="99"/>
    <w:rPr>
      <w:rFonts w:ascii="Arial" w:hAnsi="Arial" w:eastAsia="Times New Roman"/>
      <w:i/>
      <w:color w:val="808080" w:themeColor="text1" w:themeTint="80"/>
      <w:spacing w:val="2"/>
      <w:sz w:val="18"/>
      <w:szCs w:val="18"/>
      <w:lang w:val="en-GB" w:eastAsia="en-IN"/>
      <w14:textFill>
        <w14:solidFill>
          <w14:schemeClr w14:val="tx1">
            <w14:lumMod w14:val="50000"/>
            <w14:lumOff w14:val="50000"/>
          </w14:schemeClr>
        </w14:solidFill>
      </w14:textFill>
    </w:rPr>
  </w:style>
  <w:style w:type="paragraph" w:customStyle="1" w:styleId="203">
    <w:name w:val="IvD bodytext"/>
    <w:basedOn w:val="32"/>
    <w:link w:val="204"/>
    <w:qFormat/>
    <w:uiPriority w:val="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spacing w:val="2"/>
      <w:sz w:val="20"/>
      <w:lang w:eastAsia="en-IN"/>
    </w:rPr>
  </w:style>
  <w:style w:type="character" w:customStyle="1" w:styleId="204">
    <w:name w:val="IvD bodytext Char"/>
    <w:basedOn w:val="55"/>
    <w:link w:val="203"/>
    <w:qFormat/>
    <w:uiPriority w:val="0"/>
    <w:rPr>
      <w:rFonts w:ascii="Arial" w:hAnsi="Arial" w:eastAsia="Times New Roman"/>
      <w:spacing w:val="2"/>
      <w:lang w:val="en-GB" w:eastAsia="en-IN"/>
    </w:rPr>
  </w:style>
  <w:style w:type="table" w:customStyle="1" w:styleId="205">
    <w:name w:val="Grid Table 5 Dark - Accent 11"/>
    <w:basedOn w:val="53"/>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206">
    <w:name w:val="paragraph"/>
    <w:basedOn w:val="1"/>
    <w:qFormat/>
    <w:uiPriority w:val="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207">
    <w:name w:val="normaltextrun"/>
    <w:basedOn w:val="55"/>
    <w:qFormat/>
    <w:uiPriority w:val="0"/>
  </w:style>
  <w:style w:type="character" w:customStyle="1" w:styleId="208">
    <w:name w:val="eop"/>
    <w:basedOn w:val="55"/>
    <w:qFormat/>
    <w:uiPriority w:val="0"/>
  </w:style>
  <w:style w:type="table" w:customStyle="1" w:styleId="209">
    <w:name w:val="网格型1"/>
    <w:basedOn w:val="5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
    <w:name w:val="3GPP Agreements"/>
    <w:basedOn w:val="1"/>
    <w:qFormat/>
    <w:uiPriority w:val="0"/>
    <w:pPr>
      <w:numPr>
        <w:ilvl w:val="0"/>
        <w:numId w:val="10"/>
      </w:numPr>
      <w:snapToGrid w:val="0"/>
      <w:spacing w:before="60" w:after="60" w:line="276" w:lineRule="auto"/>
      <w:jc w:val="both"/>
    </w:pPr>
    <w:rPr>
      <w:rFonts w:eastAsia="宋体"/>
      <w:sz w:val="22"/>
      <w:lang w:val="en-US" w:eastAsia="zh-CN"/>
    </w:rPr>
  </w:style>
  <w:style w:type="paragraph" w:customStyle="1" w:styleId="211">
    <w:name w:val="3GPP Text"/>
    <w:basedOn w:val="1"/>
    <w:qFormat/>
    <w:uiPriority w:val="0"/>
    <w:pPr>
      <w:snapToGrid w:val="0"/>
      <w:spacing w:before="120" w:after="120" w:line="276" w:lineRule="auto"/>
      <w:jc w:val="both"/>
    </w:pPr>
    <w:rPr>
      <w:rFonts w:eastAsia="宋体"/>
      <w:sz w:val="22"/>
      <w:lang w:eastAsia="en-US"/>
    </w:rPr>
  </w:style>
  <w:style w:type="paragraph" w:customStyle="1" w:styleId="212">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213">
    <w:name w:val="msolistparagraph"/>
    <w:basedOn w:val="1"/>
    <w:qFormat/>
    <w:uiPriority w:val="0"/>
    <w:pPr>
      <w:numPr>
        <w:ilvl w:val="0"/>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214">
    <w:name w:val="标题 4 字符1"/>
    <w:basedOn w:val="55"/>
    <w:link w:val="5"/>
    <w:qFormat/>
    <w:uiPriority w:val="0"/>
    <w:rPr>
      <w:rFonts w:ascii="Arial" w:hAnsi="Arial" w:eastAsia="Times New Roman"/>
      <w:sz w:val="24"/>
      <w:lang w:val="en-GB" w:eastAsia="en-GB"/>
    </w:rPr>
  </w:style>
  <w:style w:type="character" w:customStyle="1" w:styleId="215">
    <w:name w:val="列出段落 Char"/>
    <w:basedOn w:val="55"/>
    <w:qFormat/>
    <w:uiPriority w:val="0"/>
    <w:rPr>
      <w:rFonts w:hint="default" w:ascii="Calibri" w:hAnsi="Calibri" w:eastAsia="Calibri" w:cs="Calibri"/>
      <w:szCs w:val="22"/>
      <w:lang w:val="en-US" w:eastAsia="en-US"/>
    </w:rPr>
  </w:style>
  <w:style w:type="character" w:customStyle="1" w:styleId="216">
    <w:name w:val="标题 3 字符1"/>
    <w:basedOn w:val="55"/>
    <w:link w:val="4"/>
    <w:qFormat/>
    <w:uiPriority w:val="0"/>
    <w:rPr>
      <w:rFonts w:ascii="Arial" w:hAnsi="Arial" w:eastAsia="Times New Roman"/>
      <w:sz w:val="28"/>
      <w:lang w:val="en-GB" w:eastAsia="en-GB"/>
    </w:rPr>
  </w:style>
  <w:style w:type="character" w:customStyle="1" w:styleId="217">
    <w:name w:val="标题 1 字符1"/>
    <w:basedOn w:val="55"/>
    <w:link w:val="2"/>
    <w:qFormat/>
    <w:uiPriority w:val="0"/>
    <w:rPr>
      <w:rFonts w:ascii="Arial" w:hAnsi="Arial" w:eastAsia="Times New Roman"/>
      <w:sz w:val="36"/>
      <w:lang w:val="en-GB" w:eastAsia="en-GB"/>
    </w:rPr>
  </w:style>
  <w:style w:type="character" w:customStyle="1" w:styleId="218">
    <w:name w:val="标题 2 字符1"/>
    <w:basedOn w:val="55"/>
    <w:link w:val="3"/>
    <w:qFormat/>
    <w:uiPriority w:val="0"/>
    <w:rPr>
      <w:rFonts w:ascii="Arial" w:hAnsi="Arial" w:eastAsia="Times New Roman"/>
      <w:sz w:val="32"/>
      <w:lang w:val="en-GB" w:eastAsia="en-GB"/>
    </w:rPr>
  </w:style>
  <w:style w:type="paragraph" w:customStyle="1" w:styleId="219">
    <w:name w:val="Style1"/>
    <w:basedOn w:val="1"/>
    <w:qFormat/>
    <w:uiPriority w:val="0"/>
    <w:pPr>
      <w:spacing w:after="120" w:line="300" w:lineRule="auto"/>
      <w:ind w:firstLine="360"/>
      <w:contextualSpacing/>
      <w:jc w:val="both"/>
    </w:pPr>
    <w:rPr>
      <w:rFonts w:eastAsia="宋体"/>
      <w:lang w:val="en-US" w:eastAsia="zh-CN"/>
    </w:rPr>
  </w:style>
  <w:style w:type="table" w:customStyle="1" w:styleId="220">
    <w:name w:val="표 구분선2"/>
    <w:basedOn w:val="53"/>
    <w:qFormat/>
    <w:uiPriority w:val="59"/>
    <w:pPr>
      <w:spacing w:before="120" w:line="280" w:lineRule="atLeast"/>
    </w:pPr>
    <w:rPr>
      <w:rFonts w:ascii="New York" w:hAnsi="New York"/>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1">
    <w:name w:val="Comments"/>
    <w:basedOn w:val="1"/>
    <w:qFormat/>
    <w:uiPriority w:val="0"/>
    <w:pPr>
      <w:snapToGrid w:val="0"/>
      <w:spacing w:before="40" w:after="120" w:line="276" w:lineRule="auto"/>
      <w:jc w:val="both"/>
    </w:pPr>
    <w:rPr>
      <w:rFonts w:ascii="Arial" w:hAnsi="Arial" w:eastAsia="MS Mincho"/>
      <w:i/>
      <w:sz w:val="18"/>
    </w:rPr>
  </w:style>
  <w:style w:type="paragraph" w:customStyle="1" w:styleId="222">
    <w:name w:val="3GPP Normal Text"/>
    <w:basedOn w:val="32"/>
    <w:qFormat/>
    <w:uiPriority w:val="0"/>
    <w:pPr>
      <w:tabs>
        <w:tab w:val="left" w:pos="1440"/>
      </w:tabs>
      <w:snapToGrid w:val="0"/>
      <w:spacing w:line="276" w:lineRule="auto"/>
      <w:ind w:left="1440" w:hanging="1440"/>
      <w:jc w:val="both"/>
    </w:pPr>
    <w:rPr>
      <w:rFonts w:eastAsia="MS Mincho"/>
      <w:sz w:val="22"/>
      <w:szCs w:val="24"/>
      <w:lang w:val="en-US" w:eastAsia="zh-CN"/>
    </w:rPr>
  </w:style>
  <w:style w:type="paragraph" w:customStyle="1" w:styleId="223">
    <w:name w:val="Revision2"/>
    <w:hidden/>
    <w:unhideWhenUsed/>
    <w:qFormat/>
    <w:uiPriority w:val="99"/>
    <w:pPr>
      <w:spacing w:after="160" w:line="259" w:lineRule="auto"/>
      <w:jc w:val="both"/>
    </w:pPr>
    <w:rPr>
      <w:rFonts w:ascii="Times New Roman" w:hAnsi="Times New Roman" w:eastAsia="Times New Roman" w:cs="Times New Roman"/>
      <w:lang w:val="en-GB" w:eastAsia="en-IN" w:bidi="ar-SA"/>
    </w:rPr>
  </w:style>
  <w:style w:type="character" w:customStyle="1" w:styleId="224">
    <w:name w:val="B1 Zchn"/>
    <w:qFormat/>
    <w:locked/>
    <w:uiPriority w:val="0"/>
    <w:rPr>
      <w:lang w:eastAsia="en-US"/>
    </w:rPr>
  </w:style>
  <w:style w:type="character" w:customStyle="1" w:styleId="225">
    <w:name w:val="未处理的提及1"/>
    <w:basedOn w:val="55"/>
    <w:semiHidden/>
    <w:unhideWhenUsed/>
    <w:qFormat/>
    <w:uiPriority w:val="99"/>
    <w:rPr>
      <w:color w:val="605E5C"/>
      <w:shd w:val="clear" w:color="auto" w:fill="E1DFDD"/>
    </w:rPr>
  </w:style>
  <w:style w:type="paragraph" w:customStyle="1" w:styleId="226">
    <w:name w:val="正文2"/>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227">
    <w:name w:val="msonorm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228">
    <w:name w:val="font5"/>
    <w:basedOn w:val="1"/>
    <w:qFormat/>
    <w:uiPriority w:val="0"/>
    <w:pPr>
      <w:overflowPunct/>
      <w:autoSpaceDE/>
      <w:autoSpaceDN/>
      <w:adjustRightInd/>
      <w:spacing w:before="100" w:beforeAutospacing="1" w:after="100" w:afterAutospacing="1"/>
      <w:textAlignment w:val="auto"/>
    </w:pPr>
    <w:rPr>
      <w:rFonts w:ascii="Tahoma" w:hAnsi="Tahoma" w:eastAsia="宋体" w:cs="Tahoma"/>
      <w:color w:val="000000"/>
      <w:sz w:val="18"/>
      <w:szCs w:val="18"/>
      <w:lang w:val="en-US" w:eastAsia="zh-CN"/>
    </w:rPr>
  </w:style>
  <w:style w:type="paragraph" w:customStyle="1" w:styleId="229">
    <w:name w:val="font6"/>
    <w:basedOn w:val="1"/>
    <w:qFormat/>
    <w:uiPriority w:val="0"/>
    <w:pPr>
      <w:overflowPunct/>
      <w:autoSpaceDE/>
      <w:autoSpaceDN/>
      <w:adjustRightInd/>
      <w:spacing w:before="100" w:beforeAutospacing="1" w:after="100" w:afterAutospacing="1"/>
      <w:textAlignment w:val="auto"/>
    </w:pPr>
    <w:rPr>
      <w:rFonts w:ascii="Tahoma" w:hAnsi="Tahoma" w:eastAsia="宋体" w:cs="Tahoma"/>
      <w:b/>
      <w:bCs/>
      <w:color w:val="000000"/>
      <w:sz w:val="18"/>
      <w:szCs w:val="18"/>
      <w:lang w:val="en-US" w:eastAsia="zh-CN"/>
    </w:rPr>
  </w:style>
  <w:style w:type="paragraph" w:customStyle="1" w:styleId="230">
    <w:name w:val="xl66"/>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1">
    <w:name w:val="xl67"/>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2">
    <w:name w:val="xl68"/>
    <w:basedOn w:val="1"/>
    <w:qFormat/>
    <w:uiPriority w:val="0"/>
    <w:pPr>
      <w:shd w:val="clear" w:color="000000" w:fill="FFFFFF"/>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3">
    <w:name w:val="xl69"/>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b/>
      <w:bCs/>
      <w:color w:val="0000FF"/>
      <w:sz w:val="16"/>
      <w:szCs w:val="16"/>
      <w:u w:val="single"/>
      <w:lang w:val="en-US" w:eastAsia="zh-CN"/>
    </w:rPr>
  </w:style>
  <w:style w:type="paragraph" w:customStyle="1" w:styleId="234">
    <w:name w:val="xl70"/>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color w:val="000000"/>
      <w:sz w:val="16"/>
      <w:szCs w:val="16"/>
      <w:lang w:val="en-US" w:eastAsia="zh-CN"/>
    </w:rPr>
  </w:style>
  <w:style w:type="paragraph" w:customStyle="1" w:styleId="235">
    <w:name w:val="修订2"/>
    <w:hidden/>
    <w:unhideWhenUsed/>
    <w:qFormat/>
    <w:uiPriority w:val="99"/>
    <w:rPr>
      <w:rFonts w:ascii="Times New Roman" w:hAnsi="Times New Roman" w:eastAsia="Times New Roman" w:cs="Times New Roman"/>
      <w:lang w:val="en-GB" w:eastAsia="en-GB" w:bidi="ar-SA"/>
    </w:rPr>
  </w:style>
  <w:style w:type="paragraph" w:customStyle="1" w:styleId="236">
    <w:name w:val="Char"/>
    <w:basedOn w:val="134"/>
    <w:qFormat/>
    <w:uiPriority w:val="0"/>
    <w:pPr>
      <w:keepNext/>
      <w:keepLines/>
      <w:widowControl/>
      <w:numPr>
        <w:ilvl w:val="0"/>
        <w:numId w:val="12"/>
      </w:numPr>
      <w:pBdr>
        <w:top w:val="single" w:color="auto" w:sz="12" w:space="1"/>
      </w:pBdr>
      <w:tabs>
        <w:tab w:val="left" w:pos="1985"/>
      </w:tabs>
      <w:spacing w:before="240" w:after="180"/>
      <w:ind w:firstLine="0"/>
      <w:outlineLvl w:val="0"/>
    </w:pPr>
    <w:rPr>
      <w:rFonts w:ascii="Arial" w:hAnsi="Arial"/>
      <w:kern w:val="0"/>
      <w:sz w:val="32"/>
      <w:szCs w:val="36"/>
    </w:rPr>
  </w:style>
  <w:style w:type="paragraph" w:customStyle="1" w:styleId="23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238">
    <w:name w:val="Guidance"/>
    <w:basedOn w:val="1"/>
    <w:qFormat/>
    <w:uiPriority w:val="0"/>
    <w:rPr>
      <w:i/>
      <w:color w:val="0000FF"/>
    </w:rPr>
  </w:style>
  <w:style w:type="character" w:customStyle="1" w:styleId="239">
    <w:name w:val="列表段落 字符1"/>
    <w:qFormat/>
    <w:locked/>
    <w:uiPriority w:val="34"/>
    <w:rPr>
      <w:rFonts w:eastAsia="MS Mincho"/>
      <w:lang w:val="en-GB" w:eastAsia="en-US"/>
    </w:rPr>
  </w:style>
  <w:style w:type="paragraph" w:styleId="240">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13</Pages>
  <Words>576</Words>
  <Characters>3062</Characters>
  <Lines>158</Lines>
  <Paragraphs>44</Paragraphs>
  <TotalTime>18</TotalTime>
  <ScaleCrop>false</ScaleCrop>
  <LinksUpToDate>false</LinksUpToDate>
  <CharactersWithSpaces>3571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2024-05-27T09:34:00Z</dcterms:created>
  <dc:creator>cmcc</dc:creator>
  <cp:lastModifiedBy>ZTE, Fei Xue</cp:lastModifiedBy>
  <dcterms:modified xsi:type="dcterms:W3CDTF">2025-03-03T07:35:42Z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2052-12.1.0.20305</vt:lpwstr>
  </property>
  <property fmtid="{D5CDD505-2E9C-101B-9397-08002B2CF9AE}" pid="11" name="ICV">
    <vt:lpwstr>C4F2C37742CE498997F6F06E6A6C903C_13</vt:lpwstr>
  </property>
  <property fmtid="{D5CDD505-2E9C-101B-9397-08002B2CF9AE}" pid="12" name="KSOTemplateDocerSaveRecord">
    <vt:lpwstr>eyJoZGlkIjoiNTA2MDIzMjk0NzI5MmEzNWQ4YmNjZGZiMjgzNzc2MDMiLCJ1c2VySWQiOiIxMDQyMjkzMzc0In0=</vt:lpwstr>
  </property>
</Properties>
</file>